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after="0" w:line="500" w:lineRule="exact"/>
        <w:rPr>
          <w:rFonts w:ascii="宋体" w:hAnsi="宋体" w:eastAsia="宋体"/>
        </w:rPr>
      </w:pPr>
      <w:r>
        <w:rPr>
          <w:rFonts w:hint="eastAsia" w:ascii="宋体" w:hAnsi="宋体" w:eastAsia="宋体"/>
        </w:rPr>
        <w:t>成都大学</w:t>
      </w:r>
      <w:r>
        <w:rPr>
          <w:rFonts w:hint="eastAsia" w:ascii="宋体" w:hAnsi="宋体" w:eastAsia="宋体"/>
          <w:lang w:val="en-US" w:eastAsia="zh-CN"/>
        </w:rPr>
        <w:t>冷冻高速离心机等项目</w:t>
      </w:r>
      <w:r>
        <w:rPr>
          <w:rFonts w:hint="eastAsia" w:ascii="宋体" w:hAnsi="宋体" w:eastAsia="宋体"/>
        </w:rPr>
        <w:t>采购项目采购公告</w:t>
      </w:r>
    </w:p>
    <w:p>
      <w:pPr>
        <w:spacing w:line="320" w:lineRule="exact"/>
        <w:ind w:firstLine="420" w:firstLineChars="200"/>
        <w:rPr>
          <w:rFonts w:ascii="宋体" w:hAnsi="宋体"/>
          <w:szCs w:val="21"/>
        </w:rPr>
      </w:pPr>
      <w:r>
        <w:rPr>
          <w:rFonts w:hint="eastAsia" w:ascii="宋体" w:hAnsi="宋体"/>
          <w:bCs/>
          <w:szCs w:val="21"/>
        </w:rPr>
        <w:t>成都大学药学院作为采购人拟</w:t>
      </w:r>
      <w:r>
        <w:rPr>
          <w:rFonts w:hint="eastAsia" w:ascii="宋体" w:hAnsi="宋体"/>
          <w:szCs w:val="21"/>
        </w:rPr>
        <w:t>对</w:t>
      </w:r>
      <w:r>
        <w:rPr>
          <w:rFonts w:hint="eastAsia" w:hAnsi="宋体" w:cs="宋体"/>
          <w:szCs w:val="21"/>
        </w:rPr>
        <w:t>成都大</w:t>
      </w:r>
      <w:r>
        <w:rPr>
          <w:rFonts w:hint="eastAsia" w:hAnsi="宋体" w:cs="宋体"/>
          <w:szCs w:val="21"/>
          <w:lang w:val="en-US" w:eastAsia="zh-CN"/>
        </w:rPr>
        <w:t>学冷冻高速离心机等</w:t>
      </w:r>
      <w:r>
        <w:rPr>
          <w:rFonts w:hint="eastAsia" w:hAnsi="宋体" w:cs="宋体"/>
          <w:szCs w:val="21"/>
        </w:rPr>
        <w:t>采购项目</w:t>
      </w:r>
      <w:r>
        <w:rPr>
          <w:rFonts w:hint="eastAsia" w:ascii="宋体" w:hAnsi="宋体"/>
          <w:bCs/>
          <w:szCs w:val="21"/>
        </w:rPr>
        <w:t>进行公开比选</w:t>
      </w:r>
      <w:r>
        <w:rPr>
          <w:rFonts w:hint="eastAsia" w:ascii="宋体" w:hAnsi="宋体"/>
          <w:szCs w:val="21"/>
        </w:rPr>
        <w:t>，兹</w:t>
      </w:r>
      <w:r>
        <w:rPr>
          <w:rFonts w:ascii="宋体" w:hAnsi="宋体"/>
          <w:szCs w:val="21"/>
        </w:rPr>
        <w:t>邀请</w:t>
      </w:r>
      <w:r>
        <w:rPr>
          <w:rFonts w:hint="eastAsia" w:ascii="宋体" w:hAnsi="宋体"/>
          <w:szCs w:val="21"/>
        </w:rPr>
        <w:t>符合本次要求的供应商参加比选。</w:t>
      </w:r>
    </w:p>
    <w:p>
      <w:pPr>
        <w:pStyle w:val="10"/>
        <w:numPr>
          <w:ilvl w:val="0"/>
          <w:numId w:val="1"/>
        </w:numPr>
        <w:spacing w:line="320" w:lineRule="exact"/>
        <w:ind w:firstLineChars="0"/>
        <w:rPr>
          <w:rFonts w:ascii="宋体" w:hAnsi="宋体"/>
          <w:bCs/>
          <w:szCs w:val="21"/>
        </w:rPr>
      </w:pPr>
      <w:r>
        <w:rPr>
          <w:rFonts w:hint="eastAsia" w:ascii="宋体" w:hAnsi="宋体"/>
          <w:b/>
          <w:szCs w:val="21"/>
        </w:rPr>
        <w:t>项目概况</w:t>
      </w:r>
    </w:p>
    <w:p>
      <w:pPr>
        <w:spacing w:line="320" w:lineRule="exact"/>
        <w:rPr>
          <w:rFonts w:hAnsi="宋体" w:cs="宋体"/>
          <w:bCs/>
          <w:szCs w:val="21"/>
        </w:rPr>
      </w:pPr>
      <w:r>
        <w:rPr>
          <w:rFonts w:hint="eastAsia" w:ascii="宋体" w:hAnsi="宋体"/>
          <w:bCs/>
          <w:szCs w:val="21"/>
        </w:rPr>
        <w:t>1</w:t>
      </w:r>
      <w:r>
        <w:rPr>
          <w:rFonts w:ascii="宋体" w:hAnsi="宋体"/>
          <w:bCs/>
          <w:szCs w:val="21"/>
        </w:rPr>
        <w:t>.</w:t>
      </w:r>
      <w:r>
        <w:rPr>
          <w:rFonts w:hint="eastAsia" w:ascii="宋体" w:hAnsi="宋体"/>
          <w:bCs/>
          <w:szCs w:val="21"/>
        </w:rPr>
        <w:t>项目名称：</w:t>
      </w:r>
      <w:r>
        <w:rPr>
          <w:rFonts w:hint="eastAsia" w:hAnsi="宋体" w:cs="宋体"/>
          <w:bCs/>
          <w:szCs w:val="21"/>
        </w:rPr>
        <w:t>成都大学</w:t>
      </w:r>
      <w:r>
        <w:rPr>
          <w:rFonts w:hint="eastAsia" w:hAnsi="宋体" w:cs="宋体"/>
          <w:bCs/>
          <w:szCs w:val="21"/>
          <w:lang w:val="en-US" w:eastAsia="zh-CN"/>
        </w:rPr>
        <w:t>冷冻高速离心机等</w:t>
      </w:r>
      <w:r>
        <w:rPr>
          <w:rFonts w:hint="eastAsia" w:hAnsi="宋体" w:cs="宋体"/>
          <w:bCs/>
          <w:szCs w:val="21"/>
        </w:rPr>
        <w:t>采购项目</w:t>
      </w:r>
    </w:p>
    <w:p>
      <w:pPr>
        <w:spacing w:line="320" w:lineRule="exact"/>
        <w:rPr>
          <w:rFonts w:ascii="宋体" w:hAnsi="宋体"/>
          <w:bCs/>
          <w:szCs w:val="21"/>
        </w:rPr>
      </w:pPr>
      <w:r>
        <w:rPr>
          <w:rFonts w:hint="eastAsia" w:ascii="宋体" w:hAnsi="宋体"/>
          <w:bCs/>
          <w:szCs w:val="21"/>
        </w:rPr>
        <w:t>2</w:t>
      </w:r>
      <w:r>
        <w:rPr>
          <w:rFonts w:ascii="宋体" w:hAnsi="宋体"/>
          <w:bCs/>
          <w:szCs w:val="21"/>
        </w:rPr>
        <w:t>.</w:t>
      </w:r>
      <w:r>
        <w:rPr>
          <w:rFonts w:hint="eastAsia" w:ascii="宋体" w:hAnsi="宋体"/>
          <w:bCs/>
          <w:szCs w:val="21"/>
        </w:rPr>
        <w:t>采购项目预算金额（元）：</w:t>
      </w:r>
      <w:r>
        <w:rPr>
          <w:rFonts w:hint="eastAsia" w:ascii="宋体" w:hAnsi="宋体"/>
          <w:bCs/>
          <w:szCs w:val="21"/>
          <w:lang w:val="en-US" w:eastAsia="zh-CN"/>
        </w:rPr>
        <w:t>9.5万</w:t>
      </w:r>
      <w:r>
        <w:rPr>
          <w:rFonts w:hint="eastAsia" w:ascii="宋体" w:hAnsi="宋体"/>
          <w:bCs/>
          <w:szCs w:val="21"/>
        </w:rPr>
        <w:t xml:space="preserve"> 元，</w:t>
      </w:r>
      <w:r>
        <w:rPr>
          <w:rFonts w:hint="eastAsia" w:ascii="宋体" w:hAnsi="宋体"/>
          <w:szCs w:val="21"/>
        </w:rPr>
        <w:t>比选人报价不得高于最高限价。</w:t>
      </w:r>
    </w:p>
    <w:p>
      <w:pPr>
        <w:spacing w:line="320" w:lineRule="exact"/>
        <w:rPr>
          <w:rFonts w:ascii="宋体" w:hAnsi="宋体"/>
          <w:b/>
          <w:szCs w:val="21"/>
        </w:rPr>
      </w:pPr>
      <w:r>
        <w:rPr>
          <w:rFonts w:hint="eastAsia" w:ascii="宋体" w:hAnsi="宋体"/>
          <w:b/>
          <w:szCs w:val="21"/>
        </w:rPr>
        <w:t>二、供应商资格和资质要求：</w:t>
      </w:r>
    </w:p>
    <w:p>
      <w:pPr>
        <w:spacing w:line="320" w:lineRule="exact"/>
        <w:rPr>
          <w:rFonts w:ascii="宋体" w:hAnsi="宋体"/>
          <w:bCs/>
          <w:szCs w:val="21"/>
        </w:rPr>
      </w:pPr>
      <w:r>
        <w:rPr>
          <w:rFonts w:hint="eastAsia" w:ascii="宋体" w:hAnsi="宋体"/>
          <w:szCs w:val="21"/>
        </w:rPr>
        <w:t>1、</w:t>
      </w:r>
      <w:r>
        <w:rPr>
          <w:rFonts w:hint="eastAsia" w:ascii="宋体" w:hAnsi="宋体"/>
          <w:bCs/>
          <w:szCs w:val="21"/>
        </w:rPr>
        <w:t>具有</w:t>
      </w:r>
      <w:r>
        <w:rPr>
          <w:rFonts w:ascii="宋体" w:hAnsi="宋体"/>
          <w:bCs/>
          <w:szCs w:val="21"/>
        </w:rPr>
        <w:t>《中华人民共和国政府采购法》第二十二条规定</w:t>
      </w:r>
      <w:r>
        <w:rPr>
          <w:rFonts w:hint="eastAsia" w:ascii="宋体" w:hAnsi="宋体"/>
          <w:bCs/>
          <w:szCs w:val="21"/>
        </w:rPr>
        <w:t>的条件；</w:t>
      </w:r>
    </w:p>
    <w:p>
      <w:pPr>
        <w:spacing w:line="320" w:lineRule="exact"/>
        <w:rPr>
          <w:rFonts w:ascii="宋体" w:hAnsi="宋体"/>
          <w:bCs/>
          <w:szCs w:val="21"/>
        </w:rPr>
      </w:pPr>
      <w:r>
        <w:rPr>
          <w:rFonts w:hint="eastAsia" w:ascii="宋体" w:hAnsi="宋体"/>
          <w:bCs/>
          <w:szCs w:val="21"/>
        </w:rPr>
        <w:t>2、在中华人民共和国境内注册且具备独立法人资格的企业</w:t>
      </w:r>
      <w:r>
        <w:rPr>
          <w:rFonts w:ascii="宋体" w:hAnsi="宋体"/>
          <w:bCs/>
          <w:szCs w:val="21"/>
        </w:rPr>
        <w:t>；</w:t>
      </w:r>
    </w:p>
    <w:p>
      <w:pPr>
        <w:spacing w:line="320" w:lineRule="exact"/>
        <w:rPr>
          <w:rFonts w:ascii="宋体" w:hAnsi="宋体"/>
          <w:b/>
          <w:color w:val="000000"/>
          <w:szCs w:val="21"/>
        </w:rPr>
      </w:pPr>
      <w:r>
        <w:rPr>
          <w:rFonts w:hint="eastAsia" w:ascii="宋体" w:hAnsi="宋体"/>
          <w:b/>
          <w:color w:val="000000"/>
          <w:szCs w:val="21"/>
        </w:rPr>
        <w:t>三、采购内容</w:t>
      </w:r>
    </w:p>
    <w:p>
      <w:pPr>
        <w:spacing w:line="320" w:lineRule="exact"/>
        <w:ind w:firstLine="420" w:firstLineChars="200"/>
        <w:rPr>
          <w:rFonts w:hint="eastAsia" w:ascii="宋体" w:hAnsi="宋体"/>
          <w:bCs/>
          <w:szCs w:val="21"/>
          <w:lang w:val="en-US" w:eastAsia="zh-CN"/>
        </w:rPr>
      </w:pPr>
      <w:r>
        <w:rPr>
          <w:rFonts w:hint="eastAsia" w:ascii="宋体" w:hAnsi="宋体"/>
          <w:bCs/>
          <w:szCs w:val="21"/>
          <w:lang w:val="en-US" w:eastAsia="zh-CN"/>
        </w:rPr>
        <w:t>1、项目：</w:t>
      </w:r>
    </w:p>
    <w:p>
      <w:pPr>
        <w:spacing w:line="320" w:lineRule="exact"/>
        <w:ind w:firstLine="420" w:firstLineChars="200"/>
        <w:rPr>
          <w:rFonts w:hint="eastAsia" w:ascii="宋体" w:hAnsi="宋体"/>
          <w:bCs/>
          <w:szCs w:val="21"/>
          <w:lang w:eastAsia="zh-CN"/>
        </w:rPr>
      </w:pPr>
      <w:r>
        <w:rPr>
          <w:rFonts w:hint="eastAsia" w:ascii="宋体" w:hAnsi="宋体"/>
          <w:bCs/>
          <w:szCs w:val="21"/>
          <w:lang w:val="en-US" w:eastAsia="zh-CN"/>
        </w:rPr>
        <w:t>（1）</w:t>
      </w:r>
      <w:r>
        <w:rPr>
          <w:rFonts w:hint="eastAsia" w:ascii="宋体" w:hAnsi="宋体"/>
          <w:bCs/>
          <w:szCs w:val="21"/>
        </w:rPr>
        <w:t>冷冻高速离心机1台</w:t>
      </w:r>
      <w:r>
        <w:rPr>
          <w:rFonts w:hint="eastAsia" w:ascii="宋体" w:hAnsi="宋体"/>
          <w:bCs/>
          <w:szCs w:val="21"/>
          <w:lang w:eastAsia="zh-CN"/>
        </w:rPr>
        <w:t>（操作界面设有5组可一键调用的自定义预设程序；线性驱动，10档加速，10档减速；转子自动识别；机身采用三层优质全钢结构保护，离心内腔专业的环保防腐工艺处理，耐腐蚀。最高转速≥18000rpm；最大相对离心力≥31000×g；最大容量≥4×100ml；整机噪声≤ 60dB；转速精度≤±10r/min；温度设置范围：-20℃～40℃；温度精度≤±1.0℃。配24×1.5/2.0ml角转子，最高转速：18000rpm，最大离心力≥31000×g；配6×50ml尖圆底通用角转子（含15ml适配器），最高转速：12000rpm，最大离心力≥16000×g。</w:t>
      </w:r>
    </w:p>
    <w:p>
      <w:pPr>
        <w:spacing w:line="320" w:lineRule="exact"/>
        <w:ind w:firstLine="420" w:firstLineChars="200"/>
        <w:rPr>
          <w:rFonts w:hint="eastAsia" w:ascii="宋体" w:hAnsi="宋体"/>
          <w:bCs/>
          <w:szCs w:val="21"/>
          <w:lang w:eastAsia="zh-CN"/>
        </w:rPr>
      </w:pPr>
      <w:r>
        <w:rPr>
          <w:rFonts w:hint="eastAsia" w:ascii="宋体" w:hAnsi="宋体"/>
          <w:bCs/>
          <w:szCs w:val="21"/>
          <w:lang w:eastAsia="zh-CN"/>
        </w:rPr>
        <w:t>（</w:t>
      </w:r>
      <w:r>
        <w:rPr>
          <w:rFonts w:hint="eastAsia" w:ascii="宋体" w:hAnsi="宋体"/>
          <w:bCs/>
          <w:szCs w:val="21"/>
          <w:lang w:val="en-US" w:eastAsia="zh-CN"/>
        </w:rPr>
        <w:t>2）</w:t>
      </w:r>
      <w:r>
        <w:rPr>
          <w:rFonts w:hint="eastAsia" w:ascii="宋体" w:hAnsi="宋体"/>
          <w:bCs/>
          <w:szCs w:val="21"/>
        </w:rPr>
        <w:t>小型台式高速离心机1台</w:t>
      </w:r>
      <w:r>
        <w:rPr>
          <w:rFonts w:hint="eastAsia" w:ascii="宋体" w:hAnsi="宋体"/>
          <w:bCs/>
          <w:szCs w:val="21"/>
          <w:lang w:eastAsia="zh-CN"/>
        </w:rPr>
        <w:t>（超静音运行，噪音≤60db；单独的点动离心按键，可快速离心。3种转子可选，适配0.2、0.5、1.5、2.0、5.0ml离心管和 PCR 排管。最大相对离心力≥21000×g；最大容量≥24×1.5ml/2.0ml。升降速度快，升至最高速度≤15s，从最高速度降至0仅需约15s。</w:t>
      </w:r>
    </w:p>
    <w:p>
      <w:pPr>
        <w:spacing w:line="320" w:lineRule="exact"/>
        <w:ind w:firstLine="420" w:firstLineChars="200"/>
        <w:rPr>
          <w:rFonts w:hint="eastAsia" w:ascii="宋体" w:hAnsi="宋体"/>
          <w:bCs/>
          <w:szCs w:val="21"/>
          <w:lang w:eastAsia="zh-CN"/>
        </w:rPr>
      </w:pPr>
      <w:r>
        <w:rPr>
          <w:rFonts w:hint="eastAsia" w:ascii="宋体" w:hAnsi="宋体"/>
          <w:bCs/>
          <w:szCs w:val="21"/>
          <w:lang w:eastAsia="zh-CN"/>
        </w:rPr>
        <w:t>（</w:t>
      </w:r>
      <w:r>
        <w:rPr>
          <w:rFonts w:hint="eastAsia" w:ascii="宋体" w:hAnsi="宋体"/>
          <w:bCs/>
          <w:szCs w:val="21"/>
          <w:lang w:val="en-US" w:eastAsia="zh-CN"/>
        </w:rPr>
        <w:t>3）</w:t>
      </w:r>
      <w:r>
        <w:rPr>
          <w:rFonts w:hint="eastAsia" w:ascii="宋体" w:hAnsi="宋体"/>
          <w:bCs/>
          <w:szCs w:val="21"/>
        </w:rPr>
        <w:t>超纯水系统1台</w:t>
      </w:r>
      <w:r>
        <w:rPr>
          <w:rFonts w:hint="eastAsia" w:ascii="宋体" w:hAnsi="宋体"/>
          <w:bCs/>
          <w:szCs w:val="21"/>
          <w:lang w:eastAsia="zh-CN"/>
        </w:rPr>
        <w:t>（进水水源：一般城市自来水，产水水质满足GBT/6682-2008（中国实验用水国家标准）一级纯水标准、GB/T33087-2016（仪器分析用高纯水规格及试验方法）。纯水电导率≤5us/cm@25℃，制水速度≥10L/h。超纯水电阻率：18.2 MΩ•cm＠25℃，总有机碳含量(TOC)＜5ppb，微生物＜0.005cfu/ml，颗粒物＜1/ml，流速≥1.2L/min.内置185nm/254nm双波长紫外灯，去除痕量有机物。 水箱液位显示0-99%，自带压力传感器，可进行高低液位校准（手动/自动）；液晶显示屏，全自动主板控制低压保护、制水、储水、满水自动冲洗，所有报警和提示均为中文、指示灯双重提醒；显示屏界面可同时显示RO（三级水）、超纯水（一级水）二种水质参数。RO、超纯水产水不合格报警设置（用户可任意设置报警值），文字、指示灯双重自动提示。可通过手机端、PC端实现远程数据采集、监控和管理功能，了解设备运行情况，耗材使用情况，及时处理告警信息，基于大数据的运行状况分析，使故障判断更加准确（提供软件著作权证明文件和软件截图、手机APP截图）自带取水口锥底水箱（HDPE材质）确保纯水随时取用。水箱材质满足GB4806.7-2016，提供第三方检测报告复印件（加盖鲜章），报告数据要有三个以上元素且要有水二次迁移数据；水箱标配空气过滤器、杀菌紫外灯、溢流装置；可自由设置RO冲洗功能，可独立设置冲洗次数和间隔冲洗时间及最后一次的冲洗时间，在反渗透膜结垢发生时可有效延长使用寿命。配置：纯水/超纯水主机一台，一体式预纯化柱一套（主机内置）；双波长紫外灯一套（主机内置），专业快拆精纯化柱一套（主机内置），30升HDPE锥底储水箱一个，ASD安装配件包一套。</w:t>
      </w:r>
    </w:p>
    <w:p>
      <w:pPr>
        <w:spacing w:line="320" w:lineRule="exact"/>
        <w:ind w:firstLine="420" w:firstLineChars="200"/>
        <w:rPr>
          <w:rFonts w:hint="eastAsia" w:ascii="宋体" w:hAnsi="宋体"/>
          <w:bCs/>
          <w:szCs w:val="21"/>
          <w:lang w:eastAsia="zh-CN"/>
        </w:rPr>
      </w:pPr>
      <w:r>
        <w:rPr>
          <w:rFonts w:hint="eastAsia" w:ascii="宋体" w:hAnsi="宋体"/>
          <w:bCs/>
          <w:szCs w:val="21"/>
          <w:lang w:eastAsia="zh-CN"/>
        </w:rPr>
        <w:t>（</w:t>
      </w:r>
      <w:r>
        <w:rPr>
          <w:rFonts w:hint="eastAsia" w:ascii="宋体" w:hAnsi="宋体"/>
          <w:bCs/>
          <w:szCs w:val="21"/>
          <w:lang w:val="en-US" w:eastAsia="zh-CN"/>
        </w:rPr>
        <w:t>4）</w:t>
      </w:r>
      <w:r>
        <w:rPr>
          <w:rFonts w:hint="eastAsia" w:ascii="宋体" w:hAnsi="宋体"/>
          <w:bCs/>
          <w:szCs w:val="21"/>
        </w:rPr>
        <w:t>双层恒温摇床</w:t>
      </w:r>
      <w:r>
        <w:rPr>
          <w:rFonts w:hint="eastAsia" w:ascii="宋体" w:hAnsi="宋体"/>
          <w:bCs/>
          <w:szCs w:val="21"/>
          <w:lang w:val="en-US" w:eastAsia="zh-CN"/>
        </w:rPr>
        <w:t>1</w:t>
      </w:r>
      <w:r>
        <w:rPr>
          <w:rFonts w:hint="eastAsia" w:ascii="宋体" w:hAnsi="宋体"/>
          <w:bCs/>
          <w:szCs w:val="21"/>
        </w:rPr>
        <w:t>台</w:t>
      </w:r>
      <w:r>
        <w:rPr>
          <w:rFonts w:hint="eastAsia" w:ascii="宋体" w:hAnsi="宋体"/>
          <w:bCs/>
          <w:szCs w:val="21"/>
          <w:lang w:eastAsia="zh-CN"/>
        </w:rPr>
        <w:t>（振荡频率：0-300rpm（精度≤1rpm），温控范围：4℃～60℃（精度≤0.1℃，均匀度≤1℃）。显示方式：LCD（液晶显示屏）；对流方式：强制对流；控制方式：P.I.D微电脑智能控制。最大容量：单层250ml×25或500ml×16或1000ml×9，共两层。配固定夹具数：250ml×25、500ml×16、1000ml×18。</w:t>
      </w:r>
    </w:p>
    <w:p>
      <w:pPr>
        <w:spacing w:line="320" w:lineRule="exact"/>
        <w:ind w:firstLine="420" w:firstLineChars="200"/>
        <w:rPr>
          <w:rFonts w:hint="eastAsia" w:ascii="宋体" w:hAnsi="宋体"/>
          <w:bCs/>
          <w:szCs w:val="21"/>
        </w:rPr>
      </w:pPr>
      <w:r>
        <w:rPr>
          <w:rFonts w:hint="eastAsia" w:ascii="宋体" w:hAnsi="宋体"/>
          <w:bCs/>
          <w:szCs w:val="21"/>
          <w:lang w:eastAsia="zh-CN"/>
        </w:rPr>
        <w:t>（</w:t>
      </w:r>
      <w:r>
        <w:rPr>
          <w:rFonts w:hint="eastAsia" w:ascii="宋体" w:hAnsi="宋体"/>
          <w:bCs/>
          <w:szCs w:val="21"/>
          <w:lang w:val="en-US" w:eastAsia="zh-CN"/>
        </w:rPr>
        <w:t>5）</w:t>
      </w:r>
      <w:r>
        <w:rPr>
          <w:rFonts w:hint="eastAsia" w:ascii="宋体" w:hAnsi="宋体"/>
          <w:bCs/>
          <w:szCs w:val="21"/>
        </w:rPr>
        <w:t>高压灭菌锅</w:t>
      </w:r>
      <w:r>
        <w:rPr>
          <w:rFonts w:hint="eastAsia" w:ascii="宋体" w:hAnsi="宋体"/>
          <w:bCs/>
          <w:szCs w:val="21"/>
          <w:lang w:val="en-US" w:eastAsia="zh-CN"/>
        </w:rPr>
        <w:t>1</w:t>
      </w:r>
      <w:r>
        <w:rPr>
          <w:rFonts w:hint="eastAsia" w:ascii="宋体" w:hAnsi="宋体"/>
          <w:bCs/>
          <w:szCs w:val="21"/>
        </w:rPr>
        <w:t>台，容量容量≥100升，立式结构，底部带脚轮；操作界面分屏显示：灭菌温度、灭菌时间，并由专用按键设置，操作简便。灭菌器厂家须具有特种设备（压力容器）制造许可证（提供制造许可证，非第三方资质）；压力容器设计压力0.3Ｍpa，压力容器设计使用年限10年（生产厂家提供压力容器容器数据表）。操作界面分屏显示：灭菌温度、灭菌时间，并由专用按键设置，操作简便；采用微电脑智能控制系统，功能强大，实现了灭菌过程的全自动控制；最高可存储20条故障信息记录，方便仪器管理；压力：安全阀起跳压力0.29MPa；10.腔体材料：304不锈钢；门罩防烫装置：门罩由热绝缘塑料制成，避免蒸汽烫伤危险所投产品生产商与特种设备（压力容器）实际制造商一致；生产厂家在中国国内具有压力容器安装维修、改造资质可办理相应告知书给市场监督管理部门（提供相应资质），生产厂家员工在中华人民共和国境内具有特种设备压力容器作业资格可以提供设备安装维修服务（提供相应资质）</w:t>
      </w:r>
    </w:p>
    <w:p>
      <w:pPr>
        <w:spacing w:line="320" w:lineRule="exact"/>
        <w:ind w:firstLine="420" w:firstLineChars="200"/>
        <w:rPr>
          <w:rFonts w:hint="eastAsia" w:ascii="宋体" w:hAnsi="宋体"/>
          <w:bCs/>
          <w:szCs w:val="21"/>
        </w:rPr>
      </w:pPr>
      <w:r>
        <w:rPr>
          <w:rFonts w:hint="eastAsia" w:ascii="宋体" w:hAnsi="宋体"/>
          <w:bCs/>
          <w:szCs w:val="21"/>
        </w:rPr>
        <w:t>灭菌工作温度105-135度；采用脉动排气方式，脉动次数1-5次。</w:t>
      </w:r>
    </w:p>
    <w:p>
      <w:pPr>
        <w:spacing w:line="320" w:lineRule="exact"/>
        <w:ind w:firstLine="420" w:firstLineChars="200"/>
        <w:rPr>
          <w:rFonts w:hint="eastAsia" w:ascii="宋体" w:hAnsi="宋体"/>
          <w:bCs/>
          <w:szCs w:val="21"/>
          <w:lang w:val="en-US" w:eastAsia="zh-CN"/>
        </w:rPr>
      </w:pPr>
      <w:r>
        <w:rPr>
          <w:rFonts w:hint="eastAsia" w:ascii="宋体" w:hAnsi="宋体"/>
          <w:bCs/>
          <w:szCs w:val="21"/>
          <w:lang w:eastAsia="zh-CN"/>
        </w:rPr>
        <w:t>（</w:t>
      </w:r>
      <w:r>
        <w:rPr>
          <w:rFonts w:hint="eastAsia" w:ascii="宋体" w:hAnsi="宋体"/>
          <w:bCs/>
          <w:szCs w:val="21"/>
          <w:lang w:val="en-US" w:eastAsia="zh-CN"/>
        </w:rPr>
        <w:t>6）</w:t>
      </w:r>
      <w:r>
        <w:rPr>
          <w:rFonts w:hint="eastAsia" w:ascii="宋体" w:hAnsi="宋体"/>
          <w:bCs/>
          <w:szCs w:val="21"/>
        </w:rPr>
        <w:t>恒温生化培养箱</w:t>
      </w:r>
      <w:r>
        <w:rPr>
          <w:rFonts w:hint="eastAsia" w:ascii="宋体" w:hAnsi="宋体"/>
          <w:bCs/>
          <w:szCs w:val="21"/>
          <w:lang w:val="en-US" w:eastAsia="zh-CN"/>
        </w:rPr>
        <w:t>1</w:t>
      </w:r>
      <w:r>
        <w:rPr>
          <w:rFonts w:hint="eastAsia" w:ascii="宋体" w:hAnsi="宋体"/>
          <w:bCs/>
          <w:szCs w:val="21"/>
        </w:rPr>
        <w:t>台</w:t>
      </w:r>
      <w:r>
        <w:rPr>
          <w:rFonts w:hint="eastAsia" w:ascii="宋体" w:hAnsi="宋体"/>
          <w:bCs/>
          <w:szCs w:val="21"/>
          <w:lang w:eastAsia="zh-CN"/>
        </w:rPr>
        <w:t>（</w:t>
      </w:r>
      <w:r>
        <w:rPr>
          <w:rFonts w:hint="eastAsia" w:ascii="宋体" w:hAnsi="宋体"/>
          <w:bCs/>
          <w:szCs w:val="21"/>
        </w:rPr>
        <w:t>0-65℃的各种恒温实验及环境试验，水分析、BOD/细菌霉菌微生物培养、植物育种栽培、样品保存</w:t>
      </w:r>
      <w:r>
        <w:rPr>
          <w:rFonts w:hint="eastAsia" w:ascii="宋体" w:hAnsi="宋体"/>
          <w:bCs/>
          <w:szCs w:val="21"/>
          <w:lang w:eastAsia="zh-CN"/>
        </w:rPr>
        <w:t>。</w:t>
      </w:r>
      <w:r>
        <w:rPr>
          <w:rFonts w:hint="eastAsia" w:ascii="宋体" w:hAnsi="宋体"/>
          <w:bCs/>
          <w:szCs w:val="21"/>
        </w:rPr>
        <w:t>温度范围：0-65℃</w:t>
      </w:r>
      <w:r>
        <w:rPr>
          <w:rFonts w:hint="eastAsia" w:ascii="宋体" w:hAnsi="宋体"/>
          <w:bCs/>
          <w:szCs w:val="21"/>
          <w:lang w:eastAsia="zh-CN"/>
        </w:rPr>
        <w:t>，</w:t>
      </w:r>
      <w:r>
        <w:rPr>
          <w:rFonts w:hint="eastAsia" w:ascii="宋体" w:hAnsi="宋体"/>
          <w:bCs/>
          <w:szCs w:val="21"/>
        </w:rPr>
        <w:t>温度分辨率≤0.1℃</w:t>
      </w:r>
      <w:r>
        <w:rPr>
          <w:rFonts w:hint="eastAsia" w:ascii="宋体" w:hAnsi="宋体"/>
          <w:bCs/>
          <w:szCs w:val="21"/>
          <w:lang w:eastAsia="zh-CN"/>
        </w:rPr>
        <w:t>，</w:t>
      </w:r>
      <w:r>
        <w:rPr>
          <w:rFonts w:hint="eastAsia" w:ascii="宋体" w:hAnsi="宋体"/>
          <w:bCs/>
          <w:szCs w:val="21"/>
        </w:rPr>
        <w:t>温度波动度≤0.5℃</w:t>
      </w:r>
      <w:r>
        <w:rPr>
          <w:rFonts w:hint="eastAsia" w:ascii="宋体" w:hAnsi="宋体"/>
          <w:bCs/>
          <w:szCs w:val="21"/>
          <w:lang w:eastAsia="zh-CN"/>
        </w:rPr>
        <w:t>；</w:t>
      </w:r>
      <w:r>
        <w:rPr>
          <w:rFonts w:hint="eastAsia" w:ascii="宋体" w:hAnsi="宋体"/>
          <w:bCs/>
          <w:szCs w:val="21"/>
        </w:rPr>
        <w:t>内容积≥150L</w:t>
      </w:r>
      <w:r>
        <w:rPr>
          <w:rFonts w:hint="eastAsia" w:ascii="宋体" w:hAnsi="宋体"/>
          <w:bCs/>
          <w:szCs w:val="21"/>
          <w:lang w:eastAsia="zh-CN"/>
        </w:rPr>
        <w:t>，</w:t>
      </w:r>
      <w:r>
        <w:rPr>
          <w:rFonts w:hint="eastAsia" w:ascii="宋体" w:hAnsi="宋体"/>
          <w:bCs/>
          <w:szCs w:val="21"/>
        </w:rPr>
        <w:t>隔板层数≥5层</w:t>
      </w:r>
      <w:r>
        <w:rPr>
          <w:rFonts w:hint="eastAsia" w:ascii="宋体" w:hAnsi="宋体"/>
          <w:bCs/>
          <w:szCs w:val="21"/>
          <w:lang w:eastAsia="zh-CN"/>
        </w:rPr>
        <w:t>。</w:t>
      </w:r>
      <w:r>
        <w:rPr>
          <w:rFonts w:hint="eastAsia" w:ascii="宋体" w:hAnsi="宋体"/>
          <w:bCs/>
          <w:szCs w:val="21"/>
        </w:rPr>
        <w:t>液晶多数据全屏操作显示，便捷操作，定值运行，定时运行，自动停止</w:t>
      </w:r>
      <w:r>
        <w:rPr>
          <w:rFonts w:hint="eastAsia" w:ascii="宋体" w:hAnsi="宋体"/>
          <w:bCs/>
          <w:szCs w:val="21"/>
          <w:lang w:eastAsia="zh-CN"/>
        </w:rPr>
        <w:t>。</w:t>
      </w:r>
      <w:r>
        <w:rPr>
          <w:rFonts w:hint="eastAsia" w:ascii="宋体" w:hAnsi="宋体"/>
          <w:bCs/>
          <w:szCs w:val="21"/>
        </w:rPr>
        <w:t>专用功能键实现温度设定</w:t>
      </w:r>
      <w:r>
        <w:rPr>
          <w:rFonts w:hint="eastAsia" w:ascii="宋体" w:hAnsi="宋体"/>
          <w:bCs/>
          <w:szCs w:val="21"/>
          <w:lang w:eastAsia="zh-CN"/>
        </w:rPr>
        <w:t>。</w:t>
      </w:r>
    </w:p>
    <w:p>
      <w:pPr>
        <w:spacing w:line="320" w:lineRule="exact"/>
        <w:ind w:firstLine="420" w:firstLineChars="200"/>
        <w:rPr>
          <w:rFonts w:hint="eastAsia" w:ascii="宋体" w:hAnsi="宋体"/>
          <w:bCs/>
          <w:szCs w:val="21"/>
          <w:lang w:eastAsia="zh-CN"/>
        </w:rPr>
      </w:pPr>
      <w:r>
        <w:rPr>
          <w:rFonts w:hint="eastAsia" w:ascii="宋体" w:hAnsi="宋体"/>
          <w:bCs/>
          <w:szCs w:val="21"/>
          <w:lang w:eastAsia="zh-CN"/>
        </w:rPr>
        <w:t>（</w:t>
      </w:r>
      <w:r>
        <w:rPr>
          <w:rFonts w:hint="eastAsia" w:ascii="宋体" w:hAnsi="宋体"/>
          <w:bCs/>
          <w:szCs w:val="21"/>
          <w:lang w:val="en-US" w:eastAsia="zh-CN"/>
        </w:rPr>
        <w:t>7）</w:t>
      </w:r>
      <w:r>
        <w:rPr>
          <w:rFonts w:hint="eastAsia" w:ascii="宋体" w:hAnsi="宋体"/>
          <w:bCs/>
          <w:szCs w:val="21"/>
        </w:rPr>
        <w:t>冰箱</w:t>
      </w:r>
      <w:r>
        <w:rPr>
          <w:rFonts w:hint="eastAsia" w:ascii="宋体" w:hAnsi="宋体"/>
          <w:bCs/>
          <w:szCs w:val="21"/>
          <w:lang w:val="en-US" w:eastAsia="zh-CN"/>
        </w:rPr>
        <w:t>1</w:t>
      </w:r>
      <w:r>
        <w:rPr>
          <w:rFonts w:hint="eastAsia" w:ascii="宋体" w:hAnsi="宋体"/>
          <w:bCs/>
          <w:szCs w:val="21"/>
        </w:rPr>
        <w:t>台</w:t>
      </w:r>
      <w:r>
        <w:rPr>
          <w:rFonts w:hint="eastAsia" w:ascii="宋体" w:hAnsi="宋体"/>
          <w:bCs/>
          <w:szCs w:val="21"/>
          <w:lang w:eastAsia="zh-CN"/>
        </w:rPr>
        <w:t>（</w:t>
      </w:r>
      <w:r>
        <w:rPr>
          <w:rFonts w:hint="eastAsia" w:ascii="宋体" w:hAnsi="宋体"/>
          <w:bCs/>
          <w:szCs w:val="21"/>
        </w:rPr>
        <w:t>电脑制冷，总体积≥230L，上下开门</w:t>
      </w:r>
      <w:r>
        <w:rPr>
          <w:rFonts w:hint="eastAsia" w:ascii="宋体" w:hAnsi="宋体"/>
          <w:bCs/>
          <w:szCs w:val="21"/>
          <w:lang w:eastAsia="zh-CN"/>
        </w:rPr>
        <w:t>。）</w:t>
      </w:r>
    </w:p>
    <w:p>
      <w:pPr>
        <w:spacing w:line="320" w:lineRule="exact"/>
        <w:ind w:firstLine="420" w:firstLineChars="200"/>
        <w:rPr>
          <w:rFonts w:ascii="宋体" w:hAnsi="宋体"/>
          <w:bCs/>
          <w:color w:val="000000"/>
          <w:szCs w:val="21"/>
        </w:rPr>
      </w:pPr>
      <w:r>
        <w:rPr>
          <w:rFonts w:hint="eastAsia" w:ascii="宋体" w:hAnsi="宋体"/>
          <w:bCs/>
          <w:color w:val="000000"/>
          <w:szCs w:val="21"/>
          <w:lang w:val="en-US" w:eastAsia="zh-CN"/>
        </w:rPr>
        <w:t>3、</w:t>
      </w:r>
      <w:r>
        <w:rPr>
          <w:rFonts w:hint="eastAsia" w:ascii="宋体" w:hAnsi="宋体"/>
          <w:bCs/>
          <w:color w:val="000000"/>
          <w:szCs w:val="21"/>
        </w:rPr>
        <w:t>商务要求：</w:t>
      </w:r>
    </w:p>
    <w:p>
      <w:pPr>
        <w:adjustRightInd w:val="0"/>
        <w:snapToGrid w:val="0"/>
        <w:spacing w:line="280" w:lineRule="exact"/>
        <w:rPr>
          <w:rFonts w:asciiTheme="minorEastAsia" w:hAnsiTheme="minorEastAsia" w:eastAsiaTheme="minorEastAsia"/>
          <w:b/>
          <w:bCs/>
          <w:szCs w:val="21"/>
        </w:rPr>
      </w:pPr>
      <w:r>
        <w:rPr>
          <w:rFonts w:hint="eastAsia" w:asciiTheme="minorEastAsia" w:hAnsiTheme="minorEastAsia" w:eastAsiaTheme="minorEastAsia"/>
          <w:b/>
          <w:bCs/>
          <w:szCs w:val="21"/>
          <w:lang w:eastAsia="zh-CN"/>
        </w:rPr>
        <w:t>（</w:t>
      </w:r>
      <w:r>
        <w:rPr>
          <w:rFonts w:hint="eastAsia" w:asciiTheme="minorEastAsia" w:hAnsiTheme="minorEastAsia" w:eastAsiaTheme="minorEastAsia"/>
          <w:b/>
          <w:bCs/>
          <w:szCs w:val="21"/>
          <w:lang w:val="en-US" w:eastAsia="zh-CN"/>
        </w:rPr>
        <w:t>1）</w:t>
      </w:r>
      <w:r>
        <w:rPr>
          <w:rFonts w:asciiTheme="minorEastAsia" w:hAnsiTheme="minorEastAsia" w:eastAsiaTheme="minorEastAsia"/>
          <w:b/>
          <w:bCs/>
          <w:szCs w:val="21"/>
        </w:rPr>
        <w:t>包装、运输及保管、保险</w:t>
      </w:r>
    </w:p>
    <w:p>
      <w:pPr>
        <w:adjustRightInd w:val="0"/>
        <w:snapToGrid w:val="0"/>
        <w:spacing w:line="280" w:lineRule="exact"/>
        <w:ind w:firstLine="315" w:firstLineChars="150"/>
        <w:rPr>
          <w:rFonts w:asciiTheme="minorEastAsia" w:hAnsiTheme="minorEastAsia" w:eastAsiaTheme="minorEastAsia"/>
          <w:szCs w:val="21"/>
        </w:rPr>
      </w:pPr>
      <w:r>
        <w:rPr>
          <w:rFonts w:asciiTheme="minorEastAsia" w:hAnsiTheme="minorEastAsia" w:eastAsiaTheme="minorEastAsia"/>
          <w:szCs w:val="21"/>
        </w:rPr>
        <w:t>该项目预算总价包括货物设计、材料、制造、包装、运输、安装、调试、检测、验收合格交付使用之前及保修期内保修服务与备用物件等等所有其他有关各项的含税费用。</w:t>
      </w:r>
    </w:p>
    <w:p>
      <w:pPr>
        <w:pStyle w:val="14"/>
        <w:spacing w:line="280" w:lineRule="exact"/>
        <w:ind w:firstLine="420"/>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须提供全新的货物（含零部件、配件等），表面无划伤、无碰撞痕迹，且权属清楚，不得侵害他人的知识产权。</w:t>
      </w:r>
    </w:p>
    <w:p>
      <w:pPr>
        <w:adjustRightInd w:val="0"/>
        <w:snapToGrid w:val="0"/>
        <w:spacing w:line="280" w:lineRule="exact"/>
        <w:rPr>
          <w:rFonts w:asciiTheme="minorEastAsia" w:hAnsiTheme="minorEastAsia" w:eastAsiaTheme="minorEastAsia"/>
          <w:b/>
          <w:bCs/>
          <w:szCs w:val="21"/>
        </w:rPr>
      </w:pPr>
      <w:r>
        <w:rPr>
          <w:rFonts w:hint="eastAsia" w:asciiTheme="minorEastAsia" w:hAnsiTheme="minorEastAsia" w:eastAsiaTheme="minorEastAsia"/>
          <w:b/>
          <w:bCs/>
          <w:szCs w:val="21"/>
          <w:lang w:eastAsia="zh-CN"/>
        </w:rPr>
        <w:t>（</w:t>
      </w:r>
      <w:r>
        <w:rPr>
          <w:rFonts w:hint="eastAsia" w:asciiTheme="minorEastAsia" w:hAnsiTheme="minorEastAsia" w:eastAsiaTheme="minorEastAsia"/>
          <w:b/>
          <w:bCs/>
          <w:szCs w:val="21"/>
          <w:lang w:val="en-US" w:eastAsia="zh-CN"/>
        </w:rPr>
        <w:t>2）</w:t>
      </w:r>
      <w:r>
        <w:rPr>
          <w:rFonts w:asciiTheme="minorEastAsia" w:hAnsiTheme="minorEastAsia" w:eastAsiaTheme="minorEastAsia"/>
          <w:b/>
          <w:bCs/>
          <w:szCs w:val="21"/>
        </w:rPr>
        <w:t>质量保证与安装调试</w:t>
      </w:r>
    </w:p>
    <w:p>
      <w:pPr>
        <w:adjustRightInd w:val="0"/>
        <w:snapToGrid w:val="0"/>
        <w:spacing w:line="28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2.1</w:t>
      </w:r>
      <w:r>
        <w:rPr>
          <w:rFonts w:asciiTheme="minorEastAsia" w:hAnsiTheme="minorEastAsia" w:eastAsiaTheme="minorEastAsia"/>
          <w:szCs w:val="21"/>
        </w:rPr>
        <w:t>乙方须提供全新的货物（含零部件、配件等），表面无划伤、无碰撞痕迹，且权属清楚，不得侵害他人的知识产权。</w:t>
      </w:r>
    </w:p>
    <w:p>
      <w:pPr>
        <w:adjustRightInd w:val="0"/>
        <w:snapToGrid w:val="0"/>
        <w:spacing w:line="28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2.2</w:t>
      </w:r>
      <w:r>
        <w:rPr>
          <w:rFonts w:asciiTheme="minorEastAsia" w:hAnsiTheme="minorEastAsia" w:eastAsiaTheme="minorEastAsia"/>
          <w:szCs w:val="21"/>
        </w:rPr>
        <w:t>货物必须符合或优于国家（行业）标准，以及本项目招标文件的质量要求和技术指标与出厂标准。</w:t>
      </w:r>
    </w:p>
    <w:p>
      <w:pPr>
        <w:adjustRightInd w:val="0"/>
        <w:snapToGrid w:val="0"/>
        <w:spacing w:line="28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2.3</w:t>
      </w:r>
      <w:r>
        <w:rPr>
          <w:rFonts w:asciiTheme="minorEastAsia" w:hAnsiTheme="minorEastAsia" w:eastAsiaTheme="minorEastAsia"/>
          <w:szCs w:val="21"/>
        </w:rPr>
        <w:t>货物制造质量出现问题，乙方应负责三包（包修、包换、包退），费用由乙方负担，甲方有权到乙方生产场地检查货物质量和生产进度。</w:t>
      </w:r>
    </w:p>
    <w:p>
      <w:pPr>
        <w:adjustRightInd w:val="0"/>
        <w:snapToGrid w:val="0"/>
        <w:spacing w:line="28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2.4</w:t>
      </w:r>
      <w:r>
        <w:rPr>
          <w:rFonts w:asciiTheme="minorEastAsia" w:hAnsiTheme="minorEastAsia" w:eastAsiaTheme="minorEastAsia"/>
          <w:szCs w:val="21"/>
        </w:rPr>
        <w:t>货到现场后由于甲方保管不当造成的质量问题，乙方亦应负责修理，但费用由甲方负担。</w:t>
      </w:r>
    </w:p>
    <w:p>
      <w:pPr>
        <w:adjustRightInd w:val="0"/>
        <w:snapToGrid w:val="0"/>
        <w:spacing w:line="28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2.5</w:t>
      </w:r>
      <w:r>
        <w:rPr>
          <w:rFonts w:asciiTheme="minorEastAsia" w:hAnsiTheme="minorEastAsia" w:eastAsiaTheme="minorEastAsia"/>
          <w:szCs w:val="21"/>
        </w:rPr>
        <w:t>卖方负责设备安装、调试。</w:t>
      </w:r>
    </w:p>
    <w:p>
      <w:pPr>
        <w:adjustRightInd w:val="0"/>
        <w:snapToGrid w:val="0"/>
        <w:spacing w:line="28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2.6</w:t>
      </w:r>
      <w:r>
        <w:rPr>
          <w:rFonts w:asciiTheme="minorEastAsia" w:hAnsiTheme="minorEastAsia" w:eastAsiaTheme="minorEastAsia"/>
          <w:szCs w:val="21"/>
        </w:rPr>
        <w:t>货物到达生产现场后，卖方接到买方通知后7日内到达现场组织安装、调试，达到正常运行要求，保证买方正常使用。所需的费用包括在投标总价格中。</w:t>
      </w:r>
    </w:p>
    <w:p>
      <w:pPr>
        <w:adjustRightInd w:val="0"/>
        <w:snapToGrid w:val="0"/>
        <w:spacing w:line="28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2.7</w:t>
      </w:r>
      <w:r>
        <w:rPr>
          <w:rFonts w:asciiTheme="minorEastAsia" w:hAnsiTheme="minorEastAsia" w:eastAsiaTheme="minorEastAsia"/>
          <w:szCs w:val="21"/>
        </w:rPr>
        <w:t>卖方应就设备的安装、调试、操作、维修、保养等对买方维修技术人员进行培训。设备安装调试完毕后，卖方应对买方操作人员进行现场培训，直至买方的技术人员能独立操作，同时能完成一般常见故障的维修工作。</w:t>
      </w:r>
    </w:p>
    <w:p>
      <w:pPr>
        <w:adjustRightInd w:val="0"/>
        <w:snapToGrid w:val="0"/>
        <w:spacing w:line="28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2.8</w:t>
      </w:r>
      <w:r>
        <w:rPr>
          <w:rFonts w:asciiTheme="minorEastAsia" w:hAnsiTheme="minorEastAsia" w:eastAsiaTheme="minorEastAsia"/>
          <w:szCs w:val="21"/>
        </w:rPr>
        <w:t>验收标准以招标文件技术参数及要求和相关行业标准为准。</w:t>
      </w:r>
    </w:p>
    <w:p>
      <w:pPr>
        <w:adjustRightInd w:val="0"/>
        <w:snapToGrid w:val="0"/>
        <w:spacing w:line="280" w:lineRule="exact"/>
        <w:rPr>
          <w:rFonts w:asciiTheme="minorEastAsia" w:hAnsiTheme="minorEastAsia" w:eastAsiaTheme="minorEastAsia"/>
          <w:b/>
          <w:bCs/>
          <w:szCs w:val="21"/>
        </w:rPr>
      </w:pPr>
      <w:r>
        <w:rPr>
          <w:rFonts w:hint="eastAsia" w:asciiTheme="minorEastAsia" w:hAnsiTheme="minorEastAsia" w:eastAsiaTheme="minorEastAsia"/>
          <w:b/>
          <w:bCs/>
          <w:szCs w:val="21"/>
          <w:lang w:eastAsia="zh-CN"/>
        </w:rPr>
        <w:t>（</w:t>
      </w:r>
      <w:r>
        <w:rPr>
          <w:rFonts w:hint="eastAsia" w:asciiTheme="minorEastAsia" w:hAnsiTheme="minorEastAsia" w:eastAsiaTheme="minorEastAsia"/>
          <w:b/>
          <w:bCs/>
          <w:szCs w:val="21"/>
          <w:lang w:val="en-US" w:eastAsia="zh-CN"/>
        </w:rPr>
        <w:t>3）</w:t>
      </w:r>
      <w:r>
        <w:rPr>
          <w:rFonts w:asciiTheme="minorEastAsia" w:hAnsiTheme="minorEastAsia" w:eastAsiaTheme="minorEastAsia"/>
          <w:b/>
          <w:bCs/>
          <w:szCs w:val="21"/>
        </w:rPr>
        <w:t>与采购标的有关的服务要求，包括但不限于售后服务、技术服务（含培训）等</w:t>
      </w:r>
    </w:p>
    <w:p>
      <w:pPr>
        <w:adjustRightInd w:val="0"/>
        <w:snapToGrid w:val="0"/>
        <w:spacing w:line="28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1提供的技术资料</w:t>
      </w:r>
    </w:p>
    <w:p>
      <w:pPr>
        <w:adjustRightInd w:val="0"/>
        <w:snapToGrid w:val="0"/>
        <w:spacing w:line="28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1.1原产地证明书(由制造厂签发)；</w:t>
      </w:r>
    </w:p>
    <w:p>
      <w:pPr>
        <w:adjustRightInd w:val="0"/>
        <w:snapToGrid w:val="0"/>
        <w:spacing w:line="28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1.2提供主机及配套设备的安装图纸及说明；</w:t>
      </w:r>
    </w:p>
    <w:p>
      <w:pPr>
        <w:adjustRightInd w:val="0"/>
        <w:snapToGrid w:val="0"/>
        <w:spacing w:line="28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1.3提供主机及配套设备使用说明书、维护手册；</w:t>
      </w:r>
    </w:p>
    <w:p>
      <w:pPr>
        <w:adjustRightInd w:val="0"/>
        <w:snapToGrid w:val="0"/>
        <w:spacing w:line="28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1.4备件手册、零件及易损件的图纸及相关资料；</w:t>
      </w:r>
    </w:p>
    <w:p>
      <w:pPr>
        <w:adjustRightInd w:val="0"/>
        <w:snapToGrid w:val="0"/>
        <w:spacing w:line="28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1.5其它相关技术资料：</w:t>
      </w:r>
    </w:p>
    <w:p>
      <w:pPr>
        <w:adjustRightInd w:val="0"/>
        <w:snapToGrid w:val="0"/>
        <w:spacing w:line="28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2售后服务</w:t>
      </w:r>
    </w:p>
    <w:p>
      <w:pPr>
        <w:adjustRightInd w:val="0"/>
        <w:snapToGrid w:val="0"/>
        <w:spacing w:line="28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2.1提供有关资料及售后服务承诺。</w:t>
      </w:r>
    </w:p>
    <w:p>
      <w:pPr>
        <w:adjustRightInd w:val="0"/>
        <w:snapToGrid w:val="0"/>
        <w:spacing w:line="28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2.2备件送达期限：在设备的使用寿命期内，卖方应保证国内不超过7天，国外不超过21天。</w:t>
      </w:r>
    </w:p>
    <w:p>
      <w:pPr>
        <w:adjustRightInd w:val="0"/>
        <w:snapToGrid w:val="0"/>
        <w:spacing w:line="28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2.3终身零配件供应：投标人应保证设备停产后的备件供应保证5年，并以优惠的价格提供该设备所需的维修零配件。</w:t>
      </w:r>
    </w:p>
    <w:p>
      <w:pPr>
        <w:adjustRightInd w:val="0"/>
        <w:snapToGrid w:val="0"/>
        <w:spacing w:line="28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2.4卖方在国内应有24小时电话维修系统，并列出工程师名单、联系电话、通讯地址及备件库地址和备件的详细目录。</w:t>
      </w:r>
    </w:p>
    <w:p>
      <w:pPr>
        <w:adjustRightInd w:val="0"/>
        <w:snapToGrid w:val="0"/>
        <w:spacing w:line="28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2.5质保期后，卖方应向用户提供及时的、优质的、价格优惠的技术服务和备品备件供应。</w:t>
      </w:r>
    </w:p>
    <w:p>
      <w:pPr>
        <w:adjustRightInd w:val="0"/>
        <w:snapToGrid w:val="0"/>
        <w:spacing w:line="280" w:lineRule="exact"/>
        <w:rPr>
          <w:rFonts w:asciiTheme="minorEastAsia" w:hAnsiTheme="minorEastAsia" w:eastAsiaTheme="minorEastAsia"/>
          <w:b/>
          <w:bCs/>
          <w:szCs w:val="21"/>
        </w:rPr>
      </w:pPr>
      <w:r>
        <w:rPr>
          <w:rFonts w:hint="eastAsia" w:asciiTheme="minorEastAsia" w:hAnsiTheme="minorEastAsia" w:eastAsiaTheme="minorEastAsia"/>
          <w:b/>
          <w:bCs/>
          <w:szCs w:val="21"/>
          <w:lang w:eastAsia="zh-CN"/>
        </w:rPr>
        <w:t>（</w:t>
      </w:r>
      <w:r>
        <w:rPr>
          <w:rFonts w:hint="eastAsia" w:asciiTheme="minorEastAsia" w:hAnsiTheme="minorEastAsia" w:eastAsiaTheme="minorEastAsia"/>
          <w:b/>
          <w:bCs/>
          <w:szCs w:val="21"/>
          <w:lang w:val="en-US" w:eastAsia="zh-CN"/>
        </w:rPr>
        <w:t>4）</w:t>
      </w:r>
      <w:r>
        <w:rPr>
          <w:rFonts w:asciiTheme="minorEastAsia" w:hAnsiTheme="minorEastAsia" w:eastAsiaTheme="minorEastAsia"/>
          <w:b/>
          <w:bCs/>
          <w:szCs w:val="21"/>
        </w:rPr>
        <w:t>交货时间：合同签订后1个月内</w:t>
      </w:r>
    </w:p>
    <w:p>
      <w:pPr>
        <w:adjustRightInd w:val="0"/>
        <w:snapToGrid w:val="0"/>
        <w:spacing w:line="280" w:lineRule="exact"/>
        <w:rPr>
          <w:rFonts w:asciiTheme="minorEastAsia" w:hAnsiTheme="minorEastAsia" w:eastAsiaTheme="minorEastAsia"/>
          <w:szCs w:val="21"/>
        </w:rPr>
      </w:pPr>
      <w:r>
        <w:rPr>
          <w:rFonts w:hint="eastAsia" w:asciiTheme="minorEastAsia" w:hAnsiTheme="minorEastAsia" w:eastAsiaTheme="minorEastAsia"/>
          <w:b/>
          <w:bCs/>
          <w:szCs w:val="21"/>
          <w:lang w:eastAsia="zh-CN"/>
        </w:rPr>
        <w:t>（</w:t>
      </w:r>
      <w:r>
        <w:rPr>
          <w:rFonts w:hint="eastAsia" w:asciiTheme="minorEastAsia" w:hAnsiTheme="minorEastAsia" w:eastAsiaTheme="minorEastAsia"/>
          <w:b/>
          <w:bCs/>
          <w:szCs w:val="21"/>
          <w:lang w:val="en-US" w:eastAsia="zh-CN"/>
        </w:rPr>
        <w:t>5）</w:t>
      </w:r>
      <w:r>
        <w:rPr>
          <w:rFonts w:asciiTheme="minorEastAsia" w:hAnsiTheme="minorEastAsia" w:eastAsiaTheme="minorEastAsia"/>
          <w:b/>
          <w:bCs/>
          <w:szCs w:val="21"/>
        </w:rPr>
        <w:t>交货地点</w:t>
      </w:r>
      <w:r>
        <w:rPr>
          <w:rFonts w:asciiTheme="minorEastAsia" w:hAnsiTheme="minorEastAsia" w:eastAsiaTheme="minorEastAsia"/>
          <w:szCs w:val="21"/>
        </w:rPr>
        <w:t>：业主指定地点</w:t>
      </w:r>
    </w:p>
    <w:p>
      <w:pPr>
        <w:tabs>
          <w:tab w:val="left" w:pos="1095"/>
        </w:tabs>
        <w:spacing w:line="280" w:lineRule="exact"/>
        <w:jc w:val="left"/>
        <w:rPr>
          <w:rFonts w:asciiTheme="minorEastAsia" w:hAnsiTheme="minorEastAsia" w:eastAsiaTheme="minorEastAsia"/>
          <w:bCs/>
          <w:szCs w:val="21"/>
        </w:rPr>
      </w:pPr>
      <w:r>
        <w:rPr>
          <w:rFonts w:hint="eastAsia" w:asciiTheme="minorEastAsia" w:hAnsiTheme="minorEastAsia" w:eastAsiaTheme="minorEastAsia"/>
          <w:b/>
          <w:bCs/>
          <w:szCs w:val="21"/>
          <w:lang w:eastAsia="zh-CN"/>
        </w:rPr>
        <w:t>（</w:t>
      </w:r>
      <w:r>
        <w:rPr>
          <w:rFonts w:hint="eastAsia" w:asciiTheme="minorEastAsia" w:hAnsiTheme="minorEastAsia" w:eastAsiaTheme="minorEastAsia"/>
          <w:b/>
          <w:bCs/>
          <w:szCs w:val="21"/>
          <w:lang w:val="en-US" w:eastAsia="zh-CN"/>
        </w:rPr>
        <w:t>6）</w:t>
      </w:r>
      <w:r>
        <w:rPr>
          <w:rFonts w:asciiTheme="minorEastAsia" w:hAnsiTheme="minorEastAsia" w:eastAsiaTheme="minorEastAsia"/>
          <w:b/>
          <w:bCs/>
          <w:szCs w:val="21"/>
        </w:rPr>
        <w:t>付款方式：</w:t>
      </w:r>
      <w:r>
        <w:rPr>
          <w:rFonts w:asciiTheme="minorEastAsia" w:hAnsiTheme="minorEastAsia" w:eastAsiaTheme="minorEastAsia"/>
          <w:szCs w:val="21"/>
        </w:rPr>
        <w:t>合同签订前，乙方向甲方交纳合同总金额的5%作为该项目的履约保证金，产品验收合格后，甲方在7个工作日内以转帐方式一次性支付全部货款</w:t>
      </w:r>
      <w:r>
        <w:rPr>
          <w:rFonts w:hint="eastAsia" w:asciiTheme="minorEastAsia" w:hAnsiTheme="minorEastAsia" w:eastAsiaTheme="minorEastAsia"/>
          <w:szCs w:val="21"/>
        </w:rPr>
        <w:t>。</w:t>
      </w:r>
      <w:r>
        <w:rPr>
          <w:rFonts w:asciiTheme="minorEastAsia" w:hAnsiTheme="minorEastAsia" w:eastAsiaTheme="minorEastAsia"/>
          <w:szCs w:val="21"/>
        </w:rPr>
        <w:t>同时履约保证金</w:t>
      </w:r>
      <w:r>
        <w:rPr>
          <w:rFonts w:hint="eastAsia" w:asciiTheme="minorEastAsia" w:hAnsiTheme="minorEastAsia" w:eastAsiaTheme="minorEastAsia"/>
          <w:szCs w:val="21"/>
        </w:rPr>
        <w:t>在</w:t>
      </w:r>
      <w:r>
        <w:rPr>
          <w:rFonts w:asciiTheme="minorEastAsia" w:hAnsiTheme="minorEastAsia" w:eastAsiaTheme="minorEastAsia"/>
          <w:szCs w:val="21"/>
        </w:rPr>
        <w:t>产品使用一年无质量问题后，7个工作日内无息退还。付款时乙方须向甲方开具增值税发票。</w:t>
      </w:r>
    </w:p>
    <w:p>
      <w:pPr>
        <w:pStyle w:val="14"/>
        <w:spacing w:line="280" w:lineRule="exact"/>
        <w:ind w:firstLine="0" w:firstLineChars="0"/>
        <w:rPr>
          <w:rFonts w:cs="Times New Roman" w:asciiTheme="minorEastAsia" w:hAnsiTheme="minorEastAsia" w:eastAsiaTheme="minorEastAsia"/>
          <w:b/>
          <w:bCs/>
          <w:sz w:val="21"/>
          <w:szCs w:val="21"/>
        </w:rPr>
      </w:pPr>
      <w:r>
        <w:rPr>
          <w:rFonts w:hint="eastAsia" w:cs="Times New Roman" w:asciiTheme="minorEastAsia" w:hAnsiTheme="minorEastAsia" w:eastAsiaTheme="minorEastAsia"/>
          <w:b/>
          <w:bCs/>
          <w:sz w:val="21"/>
          <w:szCs w:val="21"/>
          <w:lang w:eastAsia="zh-CN"/>
        </w:rPr>
        <w:t>（</w:t>
      </w:r>
      <w:r>
        <w:rPr>
          <w:rFonts w:hint="eastAsia" w:cs="Times New Roman" w:asciiTheme="minorEastAsia" w:hAnsiTheme="minorEastAsia" w:eastAsiaTheme="minorEastAsia"/>
          <w:b/>
          <w:bCs/>
          <w:sz w:val="21"/>
          <w:szCs w:val="21"/>
          <w:lang w:val="en-US" w:eastAsia="zh-CN"/>
        </w:rPr>
        <w:t>7）</w:t>
      </w:r>
      <w:r>
        <w:rPr>
          <w:rFonts w:cs="Times New Roman" w:asciiTheme="minorEastAsia" w:hAnsiTheme="minorEastAsia" w:eastAsiaTheme="minorEastAsia"/>
          <w:b/>
          <w:bCs/>
          <w:sz w:val="21"/>
          <w:szCs w:val="21"/>
        </w:rPr>
        <w:t>验收标准和方法：</w:t>
      </w:r>
    </w:p>
    <w:p>
      <w:pPr>
        <w:adjustRightInd w:val="0"/>
        <w:snapToGrid w:val="0"/>
        <w:spacing w:line="280" w:lineRule="exact"/>
        <w:ind w:firstLine="315" w:firstLineChars="150"/>
        <w:rPr>
          <w:rFonts w:asciiTheme="minorEastAsia" w:hAnsiTheme="minorEastAsia" w:eastAsiaTheme="minorEastAsia"/>
          <w:szCs w:val="21"/>
        </w:rPr>
      </w:pPr>
      <w:r>
        <w:rPr>
          <w:rFonts w:hint="eastAsia" w:asciiTheme="minorEastAsia" w:hAnsiTheme="minorEastAsia" w:eastAsiaTheme="minorEastAsia"/>
          <w:b/>
          <w:szCs w:val="21"/>
        </w:rPr>
        <w:t>7.</w:t>
      </w:r>
      <w:r>
        <w:rPr>
          <w:rFonts w:asciiTheme="minorEastAsia" w:hAnsiTheme="minorEastAsia" w:eastAsiaTheme="minorEastAsia"/>
          <w:b/>
          <w:szCs w:val="21"/>
        </w:rPr>
        <w:t>1</w:t>
      </w:r>
      <w:r>
        <w:rPr>
          <w:rFonts w:asciiTheme="minorEastAsia" w:hAnsiTheme="minorEastAsia" w:eastAsiaTheme="minorEastAsia"/>
          <w:szCs w:val="21"/>
        </w:rPr>
        <w:t>验收由甲方组织，乙方配合进行：</w:t>
      </w:r>
    </w:p>
    <w:p>
      <w:pPr>
        <w:adjustRightInd w:val="0"/>
        <w:snapToGrid w:val="0"/>
        <w:spacing w:line="28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7.1.1</w:t>
      </w:r>
      <w:r>
        <w:rPr>
          <w:rFonts w:asciiTheme="minorEastAsia" w:hAnsiTheme="minorEastAsia" w:eastAsiaTheme="minorEastAsia"/>
          <w:szCs w:val="21"/>
        </w:rPr>
        <w:t xml:space="preserve"> 货物在乙方通知安装调试完毕后日内初步验收。初步验收合格后，进入试用期；试用期间发生重大质量问题，修复后试用相应顺延；试用期结束后日内完成最终验收；</w:t>
      </w:r>
    </w:p>
    <w:p>
      <w:pPr>
        <w:adjustRightInd w:val="0"/>
        <w:snapToGrid w:val="0"/>
        <w:spacing w:line="28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7.1.2</w:t>
      </w:r>
      <w:r>
        <w:rPr>
          <w:rFonts w:asciiTheme="minorEastAsia" w:hAnsiTheme="minorEastAsia" w:eastAsiaTheme="minorEastAsia"/>
          <w:szCs w:val="21"/>
        </w:rPr>
        <w:t>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adjustRightInd w:val="0"/>
        <w:snapToGrid w:val="0"/>
        <w:spacing w:line="28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7.1.3</w:t>
      </w:r>
      <w:r>
        <w:rPr>
          <w:rFonts w:asciiTheme="minorEastAsia" w:hAnsiTheme="minorEastAsia" w:eastAsiaTheme="minorEastAsia"/>
          <w:szCs w:val="21"/>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adjustRightInd w:val="0"/>
        <w:snapToGrid w:val="0"/>
        <w:spacing w:line="28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7.1.4</w:t>
      </w:r>
      <w:r>
        <w:rPr>
          <w:rFonts w:asciiTheme="minorEastAsia" w:hAnsiTheme="minorEastAsia" w:eastAsiaTheme="minorEastAsia"/>
          <w:szCs w:val="21"/>
        </w:rPr>
        <w:t>如质量验收合格，双方签署质量验收报告。</w:t>
      </w:r>
    </w:p>
    <w:p>
      <w:pPr>
        <w:adjustRightInd w:val="0"/>
        <w:snapToGrid w:val="0"/>
        <w:spacing w:line="280" w:lineRule="exact"/>
        <w:ind w:firstLine="315" w:firstLineChars="150"/>
        <w:rPr>
          <w:rFonts w:asciiTheme="minorEastAsia" w:hAnsiTheme="minorEastAsia" w:eastAsiaTheme="minorEastAsia"/>
          <w:szCs w:val="21"/>
        </w:rPr>
      </w:pPr>
      <w:r>
        <w:rPr>
          <w:rFonts w:hint="eastAsia" w:asciiTheme="minorEastAsia" w:hAnsiTheme="minorEastAsia" w:eastAsiaTheme="minorEastAsia"/>
          <w:b/>
          <w:szCs w:val="21"/>
        </w:rPr>
        <w:t>7.</w:t>
      </w:r>
      <w:r>
        <w:rPr>
          <w:rFonts w:asciiTheme="minorEastAsia" w:hAnsiTheme="minorEastAsia" w:eastAsiaTheme="minorEastAsia"/>
          <w:b/>
          <w:szCs w:val="21"/>
        </w:rPr>
        <w:t>2</w:t>
      </w:r>
      <w:r>
        <w:rPr>
          <w:rFonts w:asciiTheme="minorEastAsia" w:hAnsiTheme="minorEastAsia" w:eastAsiaTheme="minorEastAsia"/>
          <w:szCs w:val="21"/>
        </w:rPr>
        <w:t>货物安装完成后日内，甲方无故不进行验收工作并已使用货物的，视同已安装调试完成并验收合格。</w:t>
      </w:r>
    </w:p>
    <w:p>
      <w:pPr>
        <w:adjustRightInd w:val="0"/>
        <w:snapToGrid w:val="0"/>
        <w:spacing w:line="280" w:lineRule="exact"/>
        <w:ind w:firstLine="315" w:firstLineChars="150"/>
        <w:rPr>
          <w:rFonts w:asciiTheme="minorEastAsia" w:hAnsiTheme="minorEastAsia" w:eastAsiaTheme="minorEastAsia"/>
          <w:szCs w:val="21"/>
        </w:rPr>
      </w:pPr>
      <w:r>
        <w:rPr>
          <w:rFonts w:hint="eastAsia" w:asciiTheme="minorEastAsia" w:hAnsiTheme="minorEastAsia" w:eastAsiaTheme="minorEastAsia"/>
          <w:b/>
          <w:szCs w:val="21"/>
        </w:rPr>
        <w:t>7.</w:t>
      </w:r>
      <w:r>
        <w:rPr>
          <w:rFonts w:asciiTheme="minorEastAsia" w:hAnsiTheme="minorEastAsia" w:eastAsiaTheme="minorEastAsia"/>
          <w:b/>
          <w:szCs w:val="21"/>
        </w:rPr>
        <w:t>3</w:t>
      </w:r>
      <w:r>
        <w:rPr>
          <w:rFonts w:asciiTheme="minorEastAsia" w:hAnsiTheme="minorEastAsia" w:eastAsiaTheme="minorEastAsia"/>
          <w:szCs w:val="21"/>
        </w:rPr>
        <w:t>乙方应将所提供货物的装箱清单、配件、随机工具、用户使用手册、原厂保修卡等资料交付给甲方；乙方不能完整交付货物及本款规定的单证和工具的，必须负责补齐，否则视为未按合同约定交货。</w:t>
      </w:r>
    </w:p>
    <w:p>
      <w:pPr>
        <w:adjustRightInd w:val="0"/>
        <w:snapToGrid w:val="0"/>
        <w:spacing w:line="280" w:lineRule="exact"/>
        <w:ind w:firstLine="315" w:firstLineChars="150"/>
        <w:rPr>
          <w:rFonts w:asciiTheme="minorEastAsia" w:hAnsiTheme="minorEastAsia" w:eastAsiaTheme="minorEastAsia"/>
          <w:szCs w:val="21"/>
        </w:rPr>
      </w:pPr>
      <w:r>
        <w:rPr>
          <w:rFonts w:hint="eastAsia" w:asciiTheme="minorEastAsia" w:hAnsiTheme="minorEastAsia" w:eastAsiaTheme="minorEastAsia"/>
          <w:b/>
          <w:szCs w:val="21"/>
        </w:rPr>
        <w:t>7.</w:t>
      </w:r>
      <w:r>
        <w:rPr>
          <w:rFonts w:asciiTheme="minorEastAsia" w:hAnsiTheme="minorEastAsia" w:eastAsiaTheme="minorEastAsia"/>
          <w:b/>
          <w:szCs w:val="21"/>
        </w:rPr>
        <w:t>4</w:t>
      </w:r>
      <w:r>
        <w:rPr>
          <w:rFonts w:asciiTheme="minorEastAsia" w:hAnsiTheme="minorEastAsia" w:eastAsiaTheme="minorEastAsia"/>
          <w:szCs w:val="21"/>
        </w:rPr>
        <w:t>如货物经乙方次维修仍不能达到合同约定的质量标准，甲方有权退货，并视作乙方不能交付货物而须支付违约赔偿金给甲方，甲方还可依法追究乙方的违约责任。 </w:t>
      </w:r>
    </w:p>
    <w:p>
      <w:pPr>
        <w:adjustRightInd w:val="0"/>
        <w:snapToGrid w:val="0"/>
        <w:spacing w:line="280" w:lineRule="exact"/>
        <w:ind w:firstLine="315" w:firstLineChars="150"/>
        <w:rPr>
          <w:rFonts w:asciiTheme="minorEastAsia" w:hAnsiTheme="minorEastAsia" w:eastAsiaTheme="minorEastAsia"/>
          <w:szCs w:val="21"/>
        </w:rPr>
      </w:pPr>
      <w:r>
        <w:rPr>
          <w:rFonts w:hint="eastAsia" w:asciiTheme="minorEastAsia" w:hAnsiTheme="minorEastAsia" w:eastAsiaTheme="minorEastAsia"/>
          <w:b/>
          <w:szCs w:val="21"/>
        </w:rPr>
        <w:t>7.</w:t>
      </w:r>
      <w:r>
        <w:rPr>
          <w:rFonts w:asciiTheme="minorEastAsia" w:hAnsiTheme="minorEastAsia" w:eastAsiaTheme="minorEastAsia"/>
          <w:b/>
          <w:szCs w:val="21"/>
        </w:rPr>
        <w:t>5</w:t>
      </w:r>
      <w:r>
        <w:rPr>
          <w:rFonts w:asciiTheme="minorEastAsia" w:hAnsiTheme="minorEastAsia" w:eastAsiaTheme="minorEastAsia"/>
          <w:szCs w:val="21"/>
        </w:rPr>
        <w:t>其他未尽事宜应严格按照《四川省政府采购项目需求论证和履约验收管理办法》（川财采〔2015〕32号）的要求进行。</w:t>
      </w:r>
    </w:p>
    <w:p>
      <w:pPr>
        <w:spacing w:line="320" w:lineRule="exact"/>
        <w:rPr>
          <w:rFonts w:ascii="宋体" w:hAnsi="宋体"/>
          <w:b/>
          <w:color w:val="000000"/>
          <w:szCs w:val="21"/>
        </w:rPr>
      </w:pPr>
      <w:r>
        <w:rPr>
          <w:rFonts w:hint="eastAsia" w:asciiTheme="minorEastAsia" w:hAnsiTheme="minorEastAsia" w:eastAsiaTheme="minorEastAsia"/>
          <w:b/>
          <w:szCs w:val="21"/>
        </w:rPr>
        <w:t>7.</w:t>
      </w:r>
      <w:r>
        <w:rPr>
          <w:rFonts w:asciiTheme="minorEastAsia" w:hAnsiTheme="minorEastAsia" w:eastAsiaTheme="minorEastAsia"/>
          <w:b/>
          <w:szCs w:val="21"/>
        </w:rPr>
        <w:t>6</w:t>
      </w:r>
      <w:r>
        <w:rPr>
          <w:rFonts w:asciiTheme="minorEastAsia" w:hAnsiTheme="minorEastAsia" w:eastAsiaTheme="minorEastAsia"/>
          <w:szCs w:val="21"/>
        </w:rPr>
        <w:t>乙方工作人员在设施、设备安装、测试、调试过程中应严格执行国家相关安全操作规范，一旦发生任何安全事故由乙方承担全部责任，与甲方无关。</w:t>
      </w:r>
    </w:p>
    <w:p>
      <w:pPr>
        <w:spacing w:line="320" w:lineRule="exact"/>
        <w:rPr>
          <w:rFonts w:ascii="宋体" w:hAnsi="宋体"/>
          <w:b/>
          <w:szCs w:val="21"/>
        </w:rPr>
      </w:pPr>
      <w:r>
        <w:rPr>
          <w:rFonts w:hint="eastAsia" w:ascii="宋体" w:hAnsi="宋体"/>
          <w:b/>
          <w:szCs w:val="21"/>
        </w:rPr>
        <w:t>四、报名时间、比选时间及相关要求</w:t>
      </w:r>
    </w:p>
    <w:p>
      <w:pPr>
        <w:spacing w:line="320" w:lineRule="exact"/>
        <w:rPr>
          <w:rFonts w:ascii="宋体" w:hAnsi="宋体"/>
          <w:bCs/>
          <w:szCs w:val="21"/>
        </w:rPr>
      </w:pPr>
      <w:r>
        <w:rPr>
          <w:rFonts w:hint="eastAsia" w:ascii="宋体" w:hAnsi="宋体"/>
          <w:bCs/>
          <w:szCs w:val="21"/>
        </w:rPr>
        <w:t>1.报名时间：202</w:t>
      </w:r>
      <w:r>
        <w:rPr>
          <w:rFonts w:hint="eastAsia" w:ascii="宋体" w:hAnsi="宋体"/>
          <w:bCs/>
          <w:szCs w:val="21"/>
          <w:lang w:val="en-US" w:eastAsia="zh-CN"/>
        </w:rPr>
        <w:t>3</w:t>
      </w:r>
      <w:r>
        <w:rPr>
          <w:rFonts w:hint="eastAsia" w:ascii="宋体" w:hAnsi="宋体"/>
          <w:bCs/>
          <w:szCs w:val="21"/>
        </w:rPr>
        <w:t>年10月</w:t>
      </w:r>
      <w:r>
        <w:rPr>
          <w:rFonts w:hint="eastAsia" w:ascii="宋体" w:hAnsi="宋体"/>
          <w:bCs/>
          <w:szCs w:val="21"/>
          <w:lang w:val="en-US" w:eastAsia="zh-CN"/>
        </w:rPr>
        <w:t>18</w:t>
      </w:r>
      <w:r>
        <w:rPr>
          <w:rFonts w:hint="eastAsia" w:ascii="宋体" w:hAnsi="宋体"/>
          <w:bCs/>
          <w:szCs w:val="21"/>
        </w:rPr>
        <w:t>日-202</w:t>
      </w:r>
      <w:r>
        <w:rPr>
          <w:rFonts w:hint="eastAsia" w:ascii="宋体" w:hAnsi="宋体"/>
          <w:bCs/>
          <w:szCs w:val="21"/>
          <w:lang w:val="en-US" w:eastAsia="zh-CN"/>
        </w:rPr>
        <w:t>3</w:t>
      </w:r>
      <w:r>
        <w:rPr>
          <w:rFonts w:hint="eastAsia" w:ascii="宋体" w:hAnsi="宋体"/>
          <w:bCs/>
          <w:szCs w:val="21"/>
        </w:rPr>
        <w:t>年10月</w:t>
      </w:r>
      <w:r>
        <w:rPr>
          <w:rFonts w:hint="eastAsia" w:ascii="宋体" w:hAnsi="宋体"/>
          <w:bCs/>
          <w:szCs w:val="21"/>
          <w:lang w:val="en-US" w:eastAsia="zh-CN"/>
        </w:rPr>
        <w:t>20</w:t>
      </w:r>
      <w:r>
        <w:rPr>
          <w:rFonts w:hint="eastAsia" w:ascii="宋体" w:hAnsi="宋体"/>
          <w:bCs/>
          <w:szCs w:val="21"/>
        </w:rPr>
        <w:t>日</w:t>
      </w:r>
    </w:p>
    <w:p>
      <w:pPr>
        <w:spacing w:line="320" w:lineRule="exact"/>
        <w:rPr>
          <w:rFonts w:ascii="宋体" w:hAnsi="宋体"/>
          <w:bCs/>
          <w:szCs w:val="21"/>
        </w:rPr>
      </w:pPr>
      <w:r>
        <w:rPr>
          <w:rFonts w:hint="eastAsia" w:ascii="宋体" w:hAnsi="宋体"/>
          <w:bCs/>
          <w:szCs w:val="21"/>
        </w:rPr>
        <w:t>2.公开比选时间：202</w:t>
      </w:r>
      <w:r>
        <w:rPr>
          <w:rFonts w:hint="eastAsia" w:ascii="宋体" w:hAnsi="宋体"/>
          <w:bCs/>
          <w:szCs w:val="21"/>
          <w:lang w:val="en-US" w:eastAsia="zh-CN"/>
        </w:rPr>
        <w:t>3</w:t>
      </w:r>
      <w:r>
        <w:rPr>
          <w:rFonts w:hint="eastAsia" w:ascii="宋体" w:hAnsi="宋体"/>
          <w:bCs/>
          <w:szCs w:val="21"/>
        </w:rPr>
        <w:t>年10月</w:t>
      </w:r>
      <w:r>
        <w:rPr>
          <w:rFonts w:hint="eastAsia" w:ascii="宋体" w:hAnsi="宋体"/>
          <w:bCs/>
          <w:szCs w:val="21"/>
          <w:lang w:val="en-US" w:eastAsia="zh-CN"/>
        </w:rPr>
        <w:t>23</w:t>
      </w:r>
      <w:r>
        <w:rPr>
          <w:rFonts w:hint="eastAsia" w:ascii="宋体" w:hAnsi="宋体"/>
          <w:bCs/>
          <w:szCs w:val="21"/>
        </w:rPr>
        <w:t>日（星期</w:t>
      </w:r>
      <w:r>
        <w:rPr>
          <w:rFonts w:hint="eastAsia" w:ascii="宋体" w:hAnsi="宋体"/>
          <w:bCs/>
          <w:szCs w:val="21"/>
          <w:lang w:val="en-US" w:eastAsia="zh-CN"/>
        </w:rPr>
        <w:t>一</w:t>
      </w:r>
      <w:r>
        <w:rPr>
          <w:rFonts w:hint="eastAsia" w:ascii="宋体" w:hAnsi="宋体"/>
          <w:bCs/>
          <w:szCs w:val="21"/>
        </w:rPr>
        <w:t>）上午9：30点。</w:t>
      </w:r>
    </w:p>
    <w:p>
      <w:pPr>
        <w:spacing w:line="320" w:lineRule="exact"/>
        <w:ind w:firstLine="315" w:firstLineChars="150"/>
        <w:rPr>
          <w:rFonts w:ascii="宋体" w:hAnsi="宋体"/>
          <w:bCs/>
          <w:szCs w:val="21"/>
        </w:rPr>
      </w:pPr>
      <w:r>
        <w:rPr>
          <w:rFonts w:hint="eastAsia" w:ascii="宋体" w:hAnsi="宋体"/>
          <w:bCs/>
          <w:szCs w:val="21"/>
        </w:rPr>
        <w:t>比选地点：</w:t>
      </w:r>
      <w:r>
        <w:rPr>
          <w:rFonts w:hint="eastAsia" w:ascii="宋体" w:hAnsi="宋体"/>
          <w:bCs/>
          <w:szCs w:val="21"/>
          <w:lang w:val="en-US" w:eastAsia="zh-CN"/>
        </w:rPr>
        <w:t>川抗所</w:t>
      </w:r>
      <w:r>
        <w:rPr>
          <w:rFonts w:hint="eastAsia" w:ascii="宋体" w:hAnsi="宋体"/>
          <w:bCs/>
          <w:szCs w:val="21"/>
        </w:rPr>
        <w:t>A213会议室。</w:t>
      </w:r>
    </w:p>
    <w:p>
      <w:pPr>
        <w:spacing w:line="320" w:lineRule="exact"/>
        <w:rPr>
          <w:rFonts w:ascii="宋体" w:hAnsi="宋体"/>
          <w:bCs/>
          <w:szCs w:val="21"/>
        </w:rPr>
      </w:pPr>
      <w:r>
        <w:rPr>
          <w:rFonts w:hint="eastAsia" w:ascii="宋体" w:hAnsi="宋体"/>
          <w:bCs/>
          <w:szCs w:val="21"/>
        </w:rPr>
        <w:t>3.参加比选时应提交的相关材料的电子及纸质档</w:t>
      </w:r>
    </w:p>
    <w:p>
      <w:pPr>
        <w:spacing w:line="320" w:lineRule="exact"/>
        <w:rPr>
          <w:rFonts w:ascii="宋体" w:hAnsi="宋体"/>
          <w:szCs w:val="21"/>
        </w:rPr>
      </w:pPr>
      <w:r>
        <w:rPr>
          <w:rFonts w:hint="eastAsia" w:ascii="宋体" w:hAnsi="宋体"/>
          <w:szCs w:val="21"/>
        </w:rPr>
        <w:t>（1）有效的营业执照、税务登记证、组织机构代码证（或统一社会信用代码营业执照）复印件（加盖公章）</w:t>
      </w:r>
    </w:p>
    <w:p>
      <w:pPr>
        <w:spacing w:line="320" w:lineRule="exact"/>
        <w:rPr>
          <w:rFonts w:ascii="宋体" w:hAnsi="宋体"/>
          <w:szCs w:val="21"/>
        </w:rPr>
      </w:pPr>
      <w:r>
        <w:rPr>
          <w:rFonts w:hint="eastAsia" w:ascii="宋体" w:hAnsi="宋体"/>
          <w:szCs w:val="21"/>
        </w:rPr>
        <w:t>（2）法定代表人授权书（签字盖章），（见附件1）</w:t>
      </w:r>
    </w:p>
    <w:p>
      <w:pPr>
        <w:spacing w:line="320" w:lineRule="exact"/>
        <w:rPr>
          <w:rFonts w:ascii="宋体" w:hAnsi="宋体"/>
          <w:szCs w:val="21"/>
        </w:rPr>
      </w:pPr>
      <w:r>
        <w:rPr>
          <w:rFonts w:hint="eastAsia" w:ascii="宋体" w:hAnsi="宋体"/>
          <w:szCs w:val="21"/>
        </w:rPr>
        <w:t>（3）项目报价表（签字盖章），（见附件2）</w:t>
      </w:r>
    </w:p>
    <w:p>
      <w:pPr>
        <w:spacing w:line="320" w:lineRule="exact"/>
        <w:rPr>
          <w:rFonts w:ascii="宋体" w:hAnsi="宋体"/>
          <w:szCs w:val="21"/>
        </w:rPr>
      </w:pPr>
      <w:r>
        <w:rPr>
          <w:rFonts w:hint="eastAsia" w:ascii="宋体" w:hAnsi="宋体"/>
          <w:szCs w:val="21"/>
        </w:rPr>
        <w:t>（4）商务要求偏离表（签字盖章），（见附件3）</w:t>
      </w:r>
    </w:p>
    <w:p>
      <w:pPr>
        <w:spacing w:line="320" w:lineRule="exact"/>
        <w:rPr>
          <w:rFonts w:ascii="宋体" w:hAnsi="宋体"/>
          <w:szCs w:val="21"/>
        </w:rPr>
      </w:pPr>
      <w:r>
        <w:rPr>
          <w:rFonts w:hint="eastAsia" w:ascii="宋体" w:hAnsi="宋体"/>
          <w:szCs w:val="21"/>
        </w:rPr>
        <w:t>（5）比选文件中要求的相关材料复印件（加盖投标人公章）</w:t>
      </w:r>
    </w:p>
    <w:p>
      <w:pPr>
        <w:spacing w:line="320" w:lineRule="exact"/>
        <w:rPr>
          <w:rFonts w:ascii="宋体" w:hAnsi="宋体"/>
          <w:b/>
          <w:szCs w:val="21"/>
        </w:rPr>
      </w:pPr>
      <w:r>
        <w:rPr>
          <w:rFonts w:hint="eastAsia" w:ascii="宋体" w:hAnsi="宋体"/>
          <w:b/>
          <w:szCs w:val="21"/>
        </w:rPr>
        <w:t>五、比选办法</w:t>
      </w:r>
    </w:p>
    <w:p>
      <w:pPr>
        <w:spacing w:line="320" w:lineRule="exact"/>
        <w:rPr>
          <w:rFonts w:ascii="宋体"/>
          <w:szCs w:val="21"/>
        </w:rPr>
      </w:pPr>
      <w:r>
        <w:rPr>
          <w:rFonts w:hint="eastAsia" w:ascii="宋体" w:hAnsi="宋体"/>
          <w:bCs/>
          <w:szCs w:val="21"/>
        </w:rPr>
        <w:t>1</w:t>
      </w:r>
      <w:r>
        <w:rPr>
          <w:rFonts w:ascii="宋体" w:hAnsi="宋体"/>
          <w:bCs/>
          <w:szCs w:val="21"/>
        </w:rPr>
        <w:t>.</w:t>
      </w:r>
      <w:r>
        <w:rPr>
          <w:rFonts w:hint="eastAsia" w:ascii="宋体" w:hAnsi="宋体"/>
          <w:bCs/>
          <w:szCs w:val="21"/>
        </w:rPr>
        <w:t>本项目采用</w:t>
      </w:r>
      <w:r>
        <w:rPr>
          <w:rFonts w:hint="eastAsia" w:ascii="宋体" w:hAnsi="宋体"/>
          <w:bCs/>
          <w:color w:val="FF0000"/>
          <w:szCs w:val="21"/>
        </w:rPr>
        <w:t>最低价中标</w:t>
      </w:r>
      <w:r>
        <w:rPr>
          <w:rFonts w:hint="eastAsia" w:ascii="宋体" w:hAnsi="宋体"/>
          <w:bCs/>
          <w:szCs w:val="21"/>
        </w:rPr>
        <w:t xml:space="preserve"> 办法</w:t>
      </w:r>
      <w:r>
        <w:rPr>
          <w:rFonts w:hint="eastAsia" w:ascii="宋体" w:hAnsi="宋体"/>
          <w:szCs w:val="21"/>
        </w:rPr>
        <w:t>。</w:t>
      </w:r>
    </w:p>
    <w:p>
      <w:pPr>
        <w:spacing w:line="320" w:lineRule="exact"/>
        <w:rPr>
          <w:rFonts w:ascii="宋体" w:hAnsi="宋体"/>
          <w:bCs/>
          <w:szCs w:val="21"/>
        </w:rPr>
      </w:pPr>
      <w:r>
        <w:rPr>
          <w:rFonts w:hint="eastAsia" w:ascii="宋体" w:hAnsi="宋体"/>
          <w:bCs/>
          <w:szCs w:val="21"/>
        </w:rPr>
        <w:t>2</w:t>
      </w:r>
      <w:r>
        <w:rPr>
          <w:rFonts w:ascii="宋体" w:hAnsi="宋体"/>
          <w:bCs/>
          <w:szCs w:val="21"/>
        </w:rPr>
        <w:t>.</w:t>
      </w:r>
      <w:r>
        <w:rPr>
          <w:rFonts w:hint="eastAsia" w:ascii="宋体" w:hAnsi="宋体"/>
          <w:bCs/>
          <w:szCs w:val="21"/>
        </w:rPr>
        <w:t>资格性审查</w:t>
      </w:r>
    </w:p>
    <w:p>
      <w:pPr>
        <w:spacing w:line="320" w:lineRule="exact"/>
        <w:ind w:firstLine="420" w:firstLineChars="200"/>
        <w:rPr>
          <w:rFonts w:ascii="宋体" w:hAnsi="宋体"/>
          <w:bCs/>
          <w:szCs w:val="21"/>
        </w:rPr>
      </w:pPr>
      <w:r>
        <w:rPr>
          <w:rFonts w:hint="eastAsia" w:ascii="宋体" w:hAnsi="宋体"/>
          <w:bCs/>
          <w:szCs w:val="21"/>
        </w:rPr>
        <w:t>投标人须通过下表每一项审查，才能进入符合性审查评审。其中任何一项不合格，则其资格审查不合格。</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7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38" w:type="pct"/>
            <w:vAlign w:val="center"/>
          </w:tcPr>
          <w:p>
            <w:pPr>
              <w:spacing w:line="320" w:lineRule="exact"/>
              <w:jc w:val="center"/>
              <w:rPr>
                <w:rFonts w:ascii="宋体" w:hAnsi="宋体"/>
                <w:szCs w:val="21"/>
              </w:rPr>
            </w:pPr>
            <w:r>
              <w:rPr>
                <w:rFonts w:hint="eastAsia" w:ascii="宋体" w:hAnsi="宋体"/>
                <w:szCs w:val="21"/>
              </w:rPr>
              <w:t>序号</w:t>
            </w:r>
          </w:p>
        </w:tc>
        <w:tc>
          <w:tcPr>
            <w:tcW w:w="4562" w:type="pct"/>
            <w:vAlign w:val="center"/>
          </w:tcPr>
          <w:p>
            <w:pPr>
              <w:spacing w:line="320" w:lineRule="exact"/>
              <w:jc w:val="center"/>
              <w:rPr>
                <w:rFonts w:ascii="宋体" w:hAnsi="宋体"/>
                <w:szCs w:val="21"/>
              </w:rPr>
            </w:pPr>
            <w:r>
              <w:rPr>
                <w:rFonts w:hint="eastAsia" w:ascii="宋体" w:hAnsi="宋体"/>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pct"/>
            <w:vAlign w:val="center"/>
          </w:tcPr>
          <w:p>
            <w:pPr>
              <w:spacing w:line="320" w:lineRule="exact"/>
              <w:jc w:val="center"/>
              <w:rPr>
                <w:rFonts w:ascii="宋体" w:hAnsi="宋体"/>
                <w:szCs w:val="21"/>
              </w:rPr>
            </w:pPr>
            <w:r>
              <w:rPr>
                <w:rFonts w:hint="eastAsia" w:ascii="宋体" w:hAnsi="宋体"/>
                <w:szCs w:val="21"/>
              </w:rPr>
              <w:t>1</w:t>
            </w:r>
          </w:p>
        </w:tc>
        <w:tc>
          <w:tcPr>
            <w:tcW w:w="4562" w:type="pct"/>
            <w:vAlign w:val="center"/>
          </w:tcPr>
          <w:p>
            <w:pPr>
              <w:spacing w:line="320" w:lineRule="exact"/>
              <w:rPr>
                <w:rFonts w:ascii="宋体" w:hAnsi="宋体"/>
                <w:szCs w:val="21"/>
              </w:rPr>
            </w:pPr>
            <w:r>
              <w:rPr>
                <w:rFonts w:hint="eastAsia" w:ascii="宋体" w:hAnsi="宋体"/>
                <w:szCs w:val="21"/>
              </w:rPr>
              <w:t>有效的营业执照、税务登记证、组织机构代码证（或统一社会信用代码营业执照）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pct"/>
            <w:vAlign w:val="center"/>
          </w:tcPr>
          <w:p>
            <w:pPr>
              <w:spacing w:line="320" w:lineRule="exact"/>
              <w:jc w:val="center"/>
              <w:rPr>
                <w:rFonts w:ascii="宋体" w:hAnsi="宋体"/>
                <w:szCs w:val="21"/>
              </w:rPr>
            </w:pPr>
            <w:r>
              <w:rPr>
                <w:rFonts w:ascii="宋体" w:hAnsi="宋体"/>
                <w:szCs w:val="21"/>
              </w:rPr>
              <w:t>2</w:t>
            </w:r>
          </w:p>
        </w:tc>
        <w:tc>
          <w:tcPr>
            <w:tcW w:w="4562" w:type="pct"/>
            <w:vAlign w:val="center"/>
          </w:tcPr>
          <w:p>
            <w:pPr>
              <w:spacing w:line="320" w:lineRule="exact"/>
              <w:rPr>
                <w:rFonts w:ascii="宋体" w:hAnsi="宋体"/>
                <w:szCs w:val="21"/>
              </w:rPr>
            </w:pPr>
            <w:r>
              <w:rPr>
                <w:rFonts w:ascii="宋体" w:hAnsi="宋体"/>
                <w:szCs w:val="21"/>
              </w:rPr>
              <w:t>法</w:t>
            </w:r>
            <w:r>
              <w:rPr>
                <w:rFonts w:hint="eastAsia" w:ascii="宋体" w:hAnsi="宋体"/>
                <w:szCs w:val="21"/>
              </w:rPr>
              <w:t>定代表</w:t>
            </w:r>
            <w:r>
              <w:rPr>
                <w:rFonts w:ascii="宋体" w:hAnsi="宋体"/>
                <w:szCs w:val="21"/>
              </w:rPr>
              <w:t>人授权书</w:t>
            </w:r>
          </w:p>
        </w:tc>
      </w:tr>
    </w:tbl>
    <w:p>
      <w:pPr>
        <w:spacing w:line="320" w:lineRule="exact"/>
        <w:rPr>
          <w:rFonts w:ascii="宋体" w:hAnsi="宋体"/>
          <w:bCs/>
          <w:szCs w:val="21"/>
        </w:rPr>
      </w:pPr>
      <w:r>
        <w:rPr>
          <w:rFonts w:hint="eastAsia" w:ascii="宋体" w:hAnsi="宋体"/>
          <w:bCs/>
          <w:szCs w:val="21"/>
        </w:rPr>
        <w:t>3</w:t>
      </w:r>
      <w:r>
        <w:rPr>
          <w:rFonts w:ascii="宋体" w:hAnsi="宋体"/>
          <w:bCs/>
          <w:szCs w:val="21"/>
        </w:rPr>
        <w:t>.</w:t>
      </w:r>
      <w:r>
        <w:rPr>
          <w:rFonts w:hint="eastAsia" w:ascii="宋体" w:hAnsi="宋体"/>
          <w:bCs/>
          <w:szCs w:val="21"/>
        </w:rPr>
        <w:t>评分标准</w:t>
      </w:r>
    </w:p>
    <w:p>
      <w:pPr>
        <w:spacing w:line="320" w:lineRule="exact"/>
        <w:rPr>
          <w:rFonts w:ascii="宋体" w:hAnsi="宋体"/>
          <w:bCs/>
          <w:szCs w:val="21"/>
        </w:rPr>
      </w:pPr>
    </w:p>
    <w:p>
      <w:pPr>
        <w:spacing w:line="320" w:lineRule="exact"/>
        <w:rPr>
          <w:rFonts w:ascii="宋体" w:hAnsi="宋体"/>
          <w:szCs w:val="21"/>
        </w:rPr>
      </w:pPr>
      <w:r>
        <w:rPr>
          <w:rFonts w:hint="eastAsia" w:ascii="宋体" w:hAnsi="宋体"/>
          <w:b/>
          <w:szCs w:val="21"/>
        </w:rPr>
        <w:t>六、</w:t>
      </w:r>
      <w:r>
        <w:rPr>
          <w:rFonts w:hint="eastAsia" w:ascii="宋体" w:hAnsi="宋体"/>
          <w:szCs w:val="21"/>
        </w:rPr>
        <w:t>本项目</w:t>
      </w:r>
      <w:r>
        <w:rPr>
          <w:rFonts w:hint="eastAsia" w:ascii="宋体" w:hAnsi="宋体"/>
          <w:bCs/>
          <w:szCs w:val="21"/>
        </w:rPr>
        <w:t>联系人：邹老师，电话：</w:t>
      </w:r>
      <w:r>
        <w:rPr>
          <w:rFonts w:hint="eastAsia" w:ascii="宋体" w:hAnsi="宋体"/>
          <w:szCs w:val="21"/>
        </w:rPr>
        <w:t>13227078876</w:t>
      </w:r>
    </w:p>
    <w:p>
      <w:pPr>
        <w:spacing w:line="320" w:lineRule="exact"/>
        <w:rPr>
          <w:rFonts w:ascii="宋体" w:hAnsi="宋体"/>
          <w:szCs w:val="21"/>
        </w:rPr>
      </w:pPr>
    </w:p>
    <w:p>
      <w:pPr>
        <w:spacing w:line="320" w:lineRule="exact"/>
        <w:rPr>
          <w:rFonts w:ascii="宋体" w:hAnsi="宋体"/>
          <w:szCs w:val="21"/>
        </w:rPr>
      </w:pPr>
    </w:p>
    <w:p>
      <w:pPr>
        <w:spacing w:line="320" w:lineRule="exact"/>
        <w:ind w:right="840"/>
        <w:jc w:val="right"/>
        <w:rPr>
          <w:rFonts w:ascii="宋体" w:hAnsi="宋体"/>
          <w:szCs w:val="21"/>
        </w:rPr>
      </w:pPr>
      <w:r>
        <w:rPr>
          <w:rFonts w:hint="eastAsia" w:ascii="宋体" w:hAnsi="宋体"/>
          <w:szCs w:val="21"/>
        </w:rPr>
        <w:t>成都大学药学院</w:t>
      </w:r>
    </w:p>
    <w:p>
      <w:pPr>
        <w:spacing w:line="320" w:lineRule="exact"/>
        <w:ind w:right="630"/>
        <w:jc w:val="right"/>
        <w:rPr>
          <w:rFonts w:ascii="宋体" w:hAnsi="宋体"/>
          <w:szCs w:val="21"/>
        </w:rPr>
      </w:pPr>
      <w:r>
        <w:rPr>
          <w:rFonts w:hint="eastAsia" w:ascii="宋体" w:hAnsi="宋体"/>
          <w:szCs w:val="21"/>
        </w:rPr>
        <w:t>202</w:t>
      </w:r>
      <w:r>
        <w:rPr>
          <w:rFonts w:hint="eastAsia" w:ascii="宋体" w:hAnsi="宋体"/>
          <w:szCs w:val="21"/>
          <w:lang w:val="en-US" w:eastAsia="zh-CN"/>
        </w:rPr>
        <w:t>3</w:t>
      </w:r>
      <w:r>
        <w:rPr>
          <w:rFonts w:hint="eastAsia" w:ascii="宋体" w:hAnsi="宋体"/>
          <w:szCs w:val="21"/>
        </w:rPr>
        <w:t>年10月</w:t>
      </w:r>
      <w:r>
        <w:rPr>
          <w:rFonts w:hint="eastAsia" w:ascii="宋体" w:hAnsi="宋体"/>
          <w:szCs w:val="21"/>
          <w:lang w:val="en-US" w:eastAsia="zh-CN"/>
        </w:rPr>
        <w:t>18</w:t>
      </w:r>
      <w:r>
        <w:rPr>
          <w:rFonts w:hint="eastAsia" w:ascii="宋体" w:hAnsi="宋体"/>
          <w:szCs w:val="21"/>
        </w:rPr>
        <w:t>日</w:t>
      </w:r>
    </w:p>
    <w:p>
      <w:pPr>
        <w:rPr>
          <w:rFonts w:asciiTheme="minorEastAsia" w:hAnsiTheme="minorEastAsia"/>
          <w:sz w:val="28"/>
          <w:szCs w:val="28"/>
        </w:rPr>
      </w:pPr>
      <w:bookmarkStart w:id="0" w:name="_Toc477443461"/>
      <w:bookmarkStart w:id="1" w:name="_Toc153176013"/>
      <w:bookmarkStart w:id="2" w:name="_Toc202168981"/>
      <w:r>
        <w:rPr>
          <w:rFonts w:hint="eastAsia" w:asciiTheme="minorEastAsia" w:hAnsiTheme="minorEastAsia"/>
          <w:sz w:val="28"/>
          <w:szCs w:val="28"/>
        </w:rPr>
        <w:t>附件</w:t>
      </w:r>
      <w:r>
        <w:rPr>
          <w:rFonts w:asciiTheme="minorEastAsia" w:hAnsiTheme="minorEastAsia"/>
          <w:sz w:val="28"/>
          <w:szCs w:val="28"/>
        </w:rPr>
        <w:t>1</w:t>
      </w:r>
    </w:p>
    <w:p>
      <w:pPr>
        <w:jc w:val="center"/>
        <w:rPr>
          <w:rStyle w:val="9"/>
          <w:rFonts w:ascii="方正黑体简体" w:eastAsia="方正黑体简体"/>
        </w:rPr>
      </w:pPr>
      <w:r>
        <w:rPr>
          <w:rStyle w:val="9"/>
          <w:rFonts w:hint="eastAsia" w:ascii="方正黑体简体" w:eastAsia="方正黑体简体"/>
          <w:sz w:val="28"/>
          <w:szCs w:val="28"/>
        </w:rPr>
        <w:t>法定代表人授权书</w:t>
      </w:r>
    </w:p>
    <w:p>
      <w:pPr>
        <w:spacing w:line="460" w:lineRule="exact"/>
        <w:ind w:left="281" w:leftChars="134" w:firstLine="240" w:firstLineChars="100"/>
        <w:rPr>
          <w:rFonts w:ascii="宋体" w:hAnsi="宋体"/>
          <w:sz w:val="24"/>
        </w:rPr>
      </w:pPr>
      <w:r>
        <w:rPr>
          <w:rFonts w:hint="eastAsia" w:ascii="宋体" w:hAnsi="宋体"/>
          <w:sz w:val="24"/>
        </w:rPr>
        <w:t xml:space="preserve">  本授权委托书声明：我 （法定代表人姓名） 系（投标人名称）的法定代表人，现代表公司授权下面签字的（被授权人姓名）为我公</w:t>
      </w:r>
      <w:bookmarkStart w:id="3" w:name="_GoBack"/>
      <w:bookmarkEnd w:id="3"/>
      <w:r>
        <w:rPr>
          <w:rFonts w:hint="eastAsia" w:ascii="宋体" w:hAnsi="宋体"/>
          <w:sz w:val="24"/>
        </w:rPr>
        <w:t>司合法代理人，代表本公司参加采购项目的比选活动。代理人在本次采购中所签署的文件和处理的有关事物，我公司均予承认，由此产生的民事法律后果均由本单位承担。</w:t>
      </w:r>
    </w:p>
    <w:p>
      <w:pPr>
        <w:spacing w:line="700" w:lineRule="exact"/>
        <w:ind w:firstLine="570"/>
        <w:rPr>
          <w:rFonts w:ascii="宋体" w:hAnsi="宋体"/>
          <w:sz w:val="24"/>
        </w:rPr>
      </w:pPr>
      <w:r>
        <w:rPr>
          <w:rFonts w:hint="eastAsia" w:ascii="宋体" w:hAnsi="宋体"/>
          <w:sz w:val="24"/>
        </w:rPr>
        <w:t>本授权书于年月日签字盖章生效，特此声明。</w:t>
      </w:r>
    </w:p>
    <w:p>
      <w:pPr>
        <w:spacing w:line="700" w:lineRule="exact"/>
        <w:ind w:firstLine="570"/>
        <w:rPr>
          <w:rFonts w:ascii="宋体" w:hAnsi="宋体"/>
          <w:sz w:val="24"/>
        </w:rPr>
      </w:pPr>
    </w:p>
    <w:p>
      <w:pPr>
        <w:wordWrap w:val="0"/>
        <w:spacing w:line="580" w:lineRule="exact"/>
        <w:ind w:right="480"/>
        <w:rPr>
          <w:rFonts w:ascii="宋体" w:hAnsi="宋体"/>
          <w:sz w:val="24"/>
          <w:u w:val="single"/>
        </w:rPr>
      </w:pPr>
      <w:r>
        <w:rPr>
          <w:rFonts w:hint="eastAsia" w:ascii="宋体" w:hAnsi="宋体"/>
          <w:sz w:val="24"/>
        </w:rPr>
        <w:t xml:space="preserve">                                  比选申请人：</w:t>
      </w:r>
      <w:r>
        <w:rPr>
          <w:rFonts w:hint="eastAsia" w:ascii="宋体" w:hAnsi="宋体"/>
          <w:sz w:val="24"/>
          <w:u w:val="single"/>
        </w:rPr>
        <w:t xml:space="preserve">    （公章）     </w:t>
      </w:r>
    </w:p>
    <w:p>
      <w:pPr>
        <w:wordWrap w:val="0"/>
        <w:spacing w:line="580" w:lineRule="exact"/>
        <w:ind w:left="2467" w:right="480" w:hanging="2467" w:hangingChars="1028"/>
        <w:jc w:val="center"/>
        <w:rPr>
          <w:rFonts w:ascii="宋体" w:hAnsi="宋体"/>
          <w:sz w:val="24"/>
          <w:u w:val="single"/>
        </w:rPr>
      </w:pPr>
      <w:r>
        <w:rPr>
          <w:rFonts w:hint="eastAsia" w:ascii="宋体" w:hAnsi="宋体"/>
          <w:sz w:val="24"/>
        </w:rPr>
        <w:t xml:space="preserve">                            法定代表人或授权代理人：</w:t>
      </w:r>
      <w:r>
        <w:rPr>
          <w:rFonts w:hint="eastAsia" w:ascii="宋体" w:hAnsi="宋体"/>
          <w:sz w:val="24"/>
          <w:u w:val="single"/>
        </w:rPr>
        <w:t xml:space="preserve"> （签名）   </w:t>
      </w:r>
    </w:p>
    <w:p>
      <w:pPr>
        <w:wordWrap w:val="0"/>
        <w:spacing w:line="580" w:lineRule="exact"/>
        <w:ind w:right="480"/>
        <w:rPr>
          <w:rFonts w:ascii="宋体" w:hAnsi="宋体"/>
          <w:sz w:val="24"/>
        </w:rPr>
      </w:pPr>
      <w:r>
        <w:rPr>
          <w:rFonts w:hint="eastAsia" w:ascii="宋体" w:hAnsi="宋体"/>
          <w:sz w:val="24"/>
        </w:rPr>
        <w:t xml:space="preserve">                                    年    月    日 </w:t>
      </w:r>
    </w:p>
    <w:p>
      <w:pPr>
        <w:spacing w:line="580" w:lineRule="exact"/>
        <w:rPr>
          <w:rFonts w:ascii="宋体" w:hAnsi="宋体"/>
          <w:sz w:val="24"/>
        </w:rPr>
      </w:pPr>
      <w:r>
        <w:rPr>
          <w:rFonts w:hint="eastAsia" w:ascii="宋体" w:hAnsi="宋体"/>
          <w:sz w:val="24"/>
        </w:rPr>
        <w:t>附：法定代表人和被授权人身份证正反面复印件。</w:t>
      </w:r>
    </w:p>
    <w:p>
      <w:pPr>
        <w:rPr>
          <w:rFonts w:ascii="Calibri" w:hAnsi="Calibri"/>
        </w:rPr>
      </w:pPr>
    </w:p>
    <w:p>
      <w:pPr>
        <w:sectPr>
          <w:pgSz w:w="11906" w:h="16838"/>
          <w:pgMar w:top="1418" w:right="1985" w:bottom="1418" w:left="1701" w:header="851" w:footer="992" w:gutter="0"/>
          <w:cols w:space="425" w:num="1"/>
          <w:docGrid w:type="lines" w:linePitch="312" w:charSpace="0"/>
        </w:sectPr>
      </w:pPr>
      <w:r>
        <w:br w:type="page"/>
      </w:r>
    </w:p>
    <w:p>
      <w:pPr>
        <w:rPr>
          <w:rFonts w:asciiTheme="minorEastAsia" w:hAnsiTheme="minorEastAsia"/>
          <w:sz w:val="24"/>
        </w:rPr>
      </w:pPr>
      <w:r>
        <w:rPr>
          <w:rFonts w:hint="eastAsia" w:asciiTheme="minorEastAsia" w:hAnsiTheme="minorEastAsia"/>
          <w:sz w:val="24"/>
        </w:rPr>
        <w:t>附件</w:t>
      </w:r>
      <w:r>
        <w:rPr>
          <w:rFonts w:asciiTheme="minorEastAsia" w:hAnsiTheme="minorEastAsia"/>
          <w:sz w:val="24"/>
        </w:rPr>
        <w:t>2</w:t>
      </w:r>
      <w:r>
        <w:rPr>
          <w:rFonts w:hint="eastAsia" w:asciiTheme="minorEastAsia" w:hAnsiTheme="minorEastAsia"/>
          <w:sz w:val="24"/>
        </w:rPr>
        <w:t>：</w:t>
      </w:r>
    </w:p>
    <w:bookmarkEnd w:id="0"/>
    <w:bookmarkEnd w:id="1"/>
    <w:bookmarkEnd w:id="2"/>
    <w:p>
      <w:pPr>
        <w:jc w:val="center"/>
        <w:rPr>
          <w:rFonts w:ascii="Calibri" w:hAnsi="Calibri"/>
          <w:b/>
          <w:sz w:val="30"/>
          <w:szCs w:val="30"/>
        </w:rPr>
      </w:pPr>
      <w:r>
        <w:rPr>
          <w:rFonts w:hint="eastAsia" w:ascii="Calibri" w:hAnsi="Calibri"/>
          <w:b/>
          <w:sz w:val="30"/>
          <w:szCs w:val="30"/>
        </w:rPr>
        <w:t>成都大学*****采购项目报价表</w:t>
      </w:r>
    </w:p>
    <w:tbl>
      <w:tblPr>
        <w:tblStyle w:val="6"/>
        <w:tblW w:w="46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065"/>
        <w:gridCol w:w="927"/>
        <w:gridCol w:w="927"/>
        <w:gridCol w:w="2729"/>
        <w:gridCol w:w="2270"/>
        <w:gridCol w:w="1559"/>
        <w:gridCol w:w="1308"/>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28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序号</w:t>
            </w:r>
          </w:p>
        </w:tc>
        <w:tc>
          <w:tcPr>
            <w:tcW w:w="39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产品名称</w:t>
            </w: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规格</w:t>
            </w: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数量</w:t>
            </w:r>
          </w:p>
        </w:tc>
        <w:tc>
          <w:tcPr>
            <w:tcW w:w="1022" w:type="pct"/>
            <w:tcBorders>
              <w:top w:val="single" w:color="auto" w:sz="4" w:space="0"/>
              <w:left w:val="single" w:color="auto" w:sz="4" w:space="0"/>
              <w:bottom w:val="single" w:color="auto" w:sz="4" w:space="0"/>
              <w:right w:val="single" w:color="auto" w:sz="4" w:space="0"/>
            </w:tcBorders>
            <w:vAlign w:val="center"/>
          </w:tcPr>
          <w:p>
            <w:pPr>
              <w:ind w:left="117"/>
              <w:jc w:val="center"/>
              <w:rPr>
                <w:rFonts w:ascii="宋体" w:hAnsi="宋体"/>
                <w:szCs w:val="21"/>
              </w:rPr>
            </w:pPr>
            <w:r>
              <w:rPr>
                <w:rFonts w:hint="eastAsia" w:ascii="宋体" w:hAnsi="宋体"/>
                <w:szCs w:val="21"/>
              </w:rPr>
              <w:t>比选文件要求的技术参数</w:t>
            </w:r>
          </w:p>
        </w:tc>
        <w:tc>
          <w:tcPr>
            <w:tcW w:w="8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投标产品技术参数</w:t>
            </w:r>
          </w:p>
        </w:tc>
        <w:tc>
          <w:tcPr>
            <w:tcW w:w="58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响应情况</w:t>
            </w:r>
          </w:p>
        </w:tc>
        <w:tc>
          <w:tcPr>
            <w:tcW w:w="49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单价（元）</w:t>
            </w:r>
          </w:p>
        </w:tc>
        <w:tc>
          <w:tcPr>
            <w:tcW w:w="67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总金额（元）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85" w:type="pct"/>
            <w:tcBorders>
              <w:top w:val="single" w:color="auto" w:sz="4" w:space="0"/>
              <w:left w:val="single" w:color="auto" w:sz="4" w:space="0"/>
              <w:right w:val="single" w:color="auto" w:sz="4" w:space="0"/>
            </w:tcBorders>
          </w:tcPr>
          <w:p>
            <w:pPr>
              <w:widowControl/>
              <w:spacing w:before="100" w:beforeAutospacing="1" w:after="100" w:afterAutospacing="1" w:line="195" w:lineRule="atLeast"/>
              <w:jc w:val="left"/>
              <w:rPr>
                <w:rFonts w:ascii="宋体" w:hAnsi="宋体" w:cs="宋体"/>
                <w:kern w:val="0"/>
                <w:szCs w:val="21"/>
              </w:rPr>
            </w:pPr>
          </w:p>
        </w:tc>
        <w:tc>
          <w:tcPr>
            <w:tcW w:w="399" w:type="pct"/>
            <w:tcBorders>
              <w:top w:val="single" w:color="auto" w:sz="4" w:space="0"/>
              <w:left w:val="single" w:color="auto" w:sz="4" w:space="0"/>
              <w:right w:val="single" w:color="auto" w:sz="4" w:space="0"/>
            </w:tcBorders>
            <w:vAlign w:val="center"/>
          </w:tcPr>
          <w:p>
            <w:pPr>
              <w:widowControl/>
              <w:spacing w:before="100" w:beforeAutospacing="1" w:after="100" w:afterAutospacing="1" w:line="195" w:lineRule="atLeast"/>
              <w:jc w:val="left"/>
              <w:rPr>
                <w:rFonts w:ascii="宋体" w:hAnsi="宋体" w:cs="宋体"/>
                <w:kern w:val="0"/>
                <w:szCs w:val="21"/>
              </w:rPr>
            </w:pPr>
          </w:p>
        </w:tc>
        <w:tc>
          <w:tcPr>
            <w:tcW w:w="347" w:type="pct"/>
            <w:tcBorders>
              <w:top w:val="single" w:color="auto" w:sz="4" w:space="0"/>
              <w:left w:val="single" w:color="auto" w:sz="4" w:space="0"/>
              <w:right w:val="single" w:color="auto" w:sz="4" w:space="0"/>
            </w:tcBorders>
          </w:tcPr>
          <w:p>
            <w:pPr>
              <w:widowControl/>
              <w:spacing w:before="100" w:beforeAutospacing="1" w:after="100" w:afterAutospacing="1" w:line="195" w:lineRule="atLeast"/>
              <w:jc w:val="center"/>
              <w:rPr>
                <w:rFonts w:ascii="宋体" w:hAnsi="宋体" w:cs="宋体"/>
                <w:kern w:val="0"/>
                <w:szCs w:val="21"/>
              </w:rPr>
            </w:pPr>
          </w:p>
        </w:tc>
        <w:tc>
          <w:tcPr>
            <w:tcW w:w="347" w:type="pct"/>
            <w:tcBorders>
              <w:top w:val="single" w:color="auto" w:sz="4" w:space="0"/>
              <w:left w:val="single" w:color="auto" w:sz="4" w:space="0"/>
              <w:right w:val="single" w:color="auto" w:sz="4" w:space="0"/>
            </w:tcBorders>
            <w:vAlign w:val="center"/>
          </w:tcPr>
          <w:p>
            <w:pPr>
              <w:widowControl/>
              <w:spacing w:before="100" w:beforeAutospacing="1" w:after="100" w:afterAutospacing="1" w:line="195" w:lineRule="atLeast"/>
              <w:jc w:val="center"/>
              <w:rPr>
                <w:rFonts w:ascii="宋体" w:hAnsi="宋体" w:cs="宋体"/>
                <w:kern w:val="0"/>
                <w:szCs w:val="21"/>
              </w:rPr>
            </w:pPr>
          </w:p>
        </w:tc>
        <w:tc>
          <w:tcPr>
            <w:tcW w:w="1022" w:type="pc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195" w:lineRule="atLeast"/>
              <w:jc w:val="center"/>
              <w:rPr>
                <w:rFonts w:ascii="宋体" w:hAnsi="宋体" w:cs="宋体"/>
                <w:kern w:val="0"/>
                <w:szCs w:val="21"/>
              </w:rPr>
            </w:pPr>
          </w:p>
        </w:tc>
        <w:tc>
          <w:tcPr>
            <w:tcW w:w="850" w:type="pct"/>
            <w:tcBorders>
              <w:top w:val="single" w:color="auto" w:sz="4" w:space="0"/>
              <w:left w:val="single" w:color="auto" w:sz="4" w:space="0"/>
              <w:bottom w:val="single" w:color="auto" w:sz="4" w:space="0"/>
              <w:right w:val="single" w:color="auto" w:sz="4" w:space="0"/>
            </w:tcBorders>
            <w:vAlign w:val="center"/>
          </w:tcPr>
          <w:p>
            <w:pPr>
              <w:tabs>
                <w:tab w:val="left" w:pos="1980"/>
              </w:tabs>
              <w:spacing w:line="360" w:lineRule="auto"/>
              <w:rPr>
                <w:rFonts w:ascii="宋体" w:hAnsi="宋体"/>
                <w:szCs w:val="21"/>
              </w:rPr>
            </w:pPr>
          </w:p>
        </w:tc>
        <w:tc>
          <w:tcPr>
            <w:tcW w:w="584" w:type="pct"/>
            <w:tcBorders>
              <w:top w:val="single" w:color="auto" w:sz="4" w:space="0"/>
              <w:left w:val="single" w:color="auto" w:sz="4" w:space="0"/>
              <w:right w:val="single" w:color="auto" w:sz="4" w:space="0"/>
            </w:tcBorders>
          </w:tcPr>
          <w:p>
            <w:pPr>
              <w:jc w:val="center"/>
              <w:rPr>
                <w:rFonts w:ascii="宋体" w:hAnsi="宋体"/>
                <w:szCs w:val="21"/>
              </w:rPr>
            </w:pPr>
          </w:p>
        </w:tc>
        <w:tc>
          <w:tcPr>
            <w:tcW w:w="490" w:type="pct"/>
            <w:tcBorders>
              <w:top w:val="single" w:color="auto" w:sz="4" w:space="0"/>
              <w:left w:val="single" w:color="auto" w:sz="4" w:space="0"/>
              <w:right w:val="single" w:color="auto" w:sz="4" w:space="0"/>
            </w:tcBorders>
          </w:tcPr>
          <w:p>
            <w:pPr>
              <w:jc w:val="center"/>
              <w:rPr>
                <w:rFonts w:ascii="宋体" w:hAnsi="宋体"/>
                <w:szCs w:val="21"/>
              </w:rPr>
            </w:pPr>
          </w:p>
        </w:tc>
        <w:tc>
          <w:tcPr>
            <w:tcW w:w="676" w:type="pct"/>
            <w:tcBorders>
              <w:top w:val="single" w:color="auto" w:sz="4" w:space="0"/>
              <w:left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85" w:type="pct"/>
            <w:tcBorders>
              <w:top w:val="single" w:color="auto" w:sz="4" w:space="0"/>
              <w:left w:val="single" w:color="auto" w:sz="4" w:space="0"/>
              <w:right w:val="single" w:color="auto" w:sz="4" w:space="0"/>
            </w:tcBorders>
          </w:tcPr>
          <w:p>
            <w:pPr>
              <w:widowControl/>
              <w:spacing w:before="100" w:beforeAutospacing="1" w:after="100" w:afterAutospacing="1" w:line="195" w:lineRule="atLeast"/>
              <w:jc w:val="left"/>
              <w:rPr>
                <w:rFonts w:ascii="宋体" w:hAnsi="宋体" w:cs="宋体"/>
                <w:kern w:val="0"/>
                <w:szCs w:val="21"/>
              </w:rPr>
            </w:pPr>
          </w:p>
        </w:tc>
        <w:tc>
          <w:tcPr>
            <w:tcW w:w="399" w:type="pct"/>
            <w:tcBorders>
              <w:top w:val="single" w:color="auto" w:sz="4" w:space="0"/>
              <w:left w:val="single" w:color="auto" w:sz="4" w:space="0"/>
              <w:right w:val="single" w:color="auto" w:sz="4" w:space="0"/>
            </w:tcBorders>
            <w:vAlign w:val="center"/>
          </w:tcPr>
          <w:p>
            <w:pPr>
              <w:widowControl/>
              <w:spacing w:before="100" w:beforeAutospacing="1" w:after="100" w:afterAutospacing="1" w:line="195" w:lineRule="atLeast"/>
              <w:jc w:val="left"/>
              <w:rPr>
                <w:rFonts w:ascii="宋体" w:hAnsi="宋体" w:cs="宋体"/>
                <w:kern w:val="0"/>
                <w:szCs w:val="21"/>
              </w:rPr>
            </w:pPr>
          </w:p>
        </w:tc>
        <w:tc>
          <w:tcPr>
            <w:tcW w:w="347" w:type="pct"/>
            <w:tcBorders>
              <w:top w:val="single" w:color="auto" w:sz="4" w:space="0"/>
              <w:left w:val="single" w:color="auto" w:sz="4" w:space="0"/>
              <w:right w:val="single" w:color="auto" w:sz="4" w:space="0"/>
            </w:tcBorders>
          </w:tcPr>
          <w:p>
            <w:pPr>
              <w:widowControl/>
              <w:spacing w:before="100" w:beforeAutospacing="1" w:after="100" w:afterAutospacing="1" w:line="195" w:lineRule="atLeast"/>
              <w:jc w:val="center"/>
              <w:rPr>
                <w:rFonts w:ascii="宋体" w:hAnsi="宋体" w:cs="宋体"/>
                <w:kern w:val="0"/>
                <w:szCs w:val="21"/>
              </w:rPr>
            </w:pPr>
          </w:p>
        </w:tc>
        <w:tc>
          <w:tcPr>
            <w:tcW w:w="347" w:type="pct"/>
            <w:tcBorders>
              <w:top w:val="single" w:color="auto" w:sz="4" w:space="0"/>
              <w:left w:val="single" w:color="auto" w:sz="4" w:space="0"/>
              <w:right w:val="single" w:color="auto" w:sz="4" w:space="0"/>
            </w:tcBorders>
            <w:vAlign w:val="center"/>
          </w:tcPr>
          <w:p>
            <w:pPr>
              <w:widowControl/>
              <w:spacing w:before="100" w:beforeAutospacing="1" w:after="100" w:afterAutospacing="1" w:line="195" w:lineRule="atLeast"/>
              <w:jc w:val="center"/>
              <w:rPr>
                <w:rFonts w:ascii="宋体" w:hAnsi="宋体" w:cs="宋体"/>
                <w:kern w:val="0"/>
                <w:szCs w:val="21"/>
              </w:rPr>
            </w:pPr>
          </w:p>
        </w:tc>
        <w:tc>
          <w:tcPr>
            <w:tcW w:w="1022" w:type="pc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195" w:lineRule="atLeast"/>
              <w:jc w:val="center"/>
              <w:rPr>
                <w:rFonts w:ascii="宋体" w:hAnsi="宋体" w:cs="宋体"/>
                <w:kern w:val="0"/>
                <w:szCs w:val="21"/>
              </w:rPr>
            </w:pPr>
          </w:p>
        </w:tc>
        <w:tc>
          <w:tcPr>
            <w:tcW w:w="850" w:type="pct"/>
            <w:tcBorders>
              <w:top w:val="single" w:color="auto" w:sz="4" w:space="0"/>
              <w:left w:val="single" w:color="auto" w:sz="4" w:space="0"/>
              <w:bottom w:val="single" w:color="auto" w:sz="4" w:space="0"/>
              <w:right w:val="single" w:color="auto" w:sz="4" w:space="0"/>
            </w:tcBorders>
            <w:vAlign w:val="center"/>
          </w:tcPr>
          <w:p>
            <w:pPr>
              <w:tabs>
                <w:tab w:val="left" w:pos="1980"/>
              </w:tabs>
              <w:spacing w:line="360" w:lineRule="auto"/>
              <w:rPr>
                <w:rFonts w:ascii="宋体" w:hAnsi="宋体"/>
                <w:szCs w:val="21"/>
              </w:rPr>
            </w:pPr>
          </w:p>
        </w:tc>
        <w:tc>
          <w:tcPr>
            <w:tcW w:w="584" w:type="pct"/>
            <w:tcBorders>
              <w:top w:val="single" w:color="auto" w:sz="4" w:space="0"/>
              <w:left w:val="single" w:color="auto" w:sz="4" w:space="0"/>
              <w:right w:val="single" w:color="auto" w:sz="4" w:space="0"/>
            </w:tcBorders>
          </w:tcPr>
          <w:p>
            <w:pPr>
              <w:jc w:val="center"/>
              <w:rPr>
                <w:rFonts w:ascii="宋体" w:hAnsi="宋体"/>
                <w:szCs w:val="21"/>
              </w:rPr>
            </w:pPr>
          </w:p>
        </w:tc>
        <w:tc>
          <w:tcPr>
            <w:tcW w:w="490" w:type="pct"/>
            <w:tcBorders>
              <w:top w:val="single" w:color="auto" w:sz="4" w:space="0"/>
              <w:left w:val="single" w:color="auto" w:sz="4" w:space="0"/>
              <w:right w:val="single" w:color="auto" w:sz="4" w:space="0"/>
            </w:tcBorders>
          </w:tcPr>
          <w:p>
            <w:pPr>
              <w:jc w:val="center"/>
              <w:rPr>
                <w:rFonts w:ascii="宋体" w:hAnsi="宋体"/>
                <w:szCs w:val="21"/>
              </w:rPr>
            </w:pPr>
          </w:p>
        </w:tc>
        <w:tc>
          <w:tcPr>
            <w:tcW w:w="676" w:type="pct"/>
            <w:tcBorders>
              <w:top w:val="single" w:color="auto" w:sz="4" w:space="0"/>
              <w:left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85" w:type="pct"/>
            <w:tcBorders>
              <w:top w:val="single" w:color="auto" w:sz="4" w:space="0"/>
              <w:left w:val="single" w:color="auto" w:sz="4" w:space="0"/>
              <w:right w:val="single" w:color="auto" w:sz="4" w:space="0"/>
            </w:tcBorders>
          </w:tcPr>
          <w:p>
            <w:pPr>
              <w:widowControl/>
              <w:spacing w:before="100" w:beforeAutospacing="1" w:after="100" w:afterAutospacing="1" w:line="195" w:lineRule="atLeast"/>
              <w:jc w:val="left"/>
              <w:rPr>
                <w:rFonts w:ascii="宋体" w:hAnsi="宋体" w:cs="宋体"/>
                <w:kern w:val="0"/>
                <w:szCs w:val="21"/>
              </w:rPr>
            </w:pPr>
          </w:p>
        </w:tc>
        <w:tc>
          <w:tcPr>
            <w:tcW w:w="399" w:type="pct"/>
            <w:tcBorders>
              <w:top w:val="single" w:color="auto" w:sz="4" w:space="0"/>
              <w:left w:val="single" w:color="auto" w:sz="4" w:space="0"/>
              <w:right w:val="single" w:color="auto" w:sz="4" w:space="0"/>
            </w:tcBorders>
            <w:vAlign w:val="center"/>
          </w:tcPr>
          <w:p>
            <w:pPr>
              <w:widowControl/>
              <w:spacing w:before="100" w:beforeAutospacing="1" w:after="100" w:afterAutospacing="1" w:line="195" w:lineRule="atLeast"/>
              <w:jc w:val="left"/>
              <w:rPr>
                <w:rFonts w:ascii="宋体" w:hAnsi="宋体" w:cs="宋体"/>
                <w:kern w:val="0"/>
                <w:szCs w:val="21"/>
              </w:rPr>
            </w:pPr>
          </w:p>
        </w:tc>
        <w:tc>
          <w:tcPr>
            <w:tcW w:w="347" w:type="pct"/>
            <w:tcBorders>
              <w:top w:val="single" w:color="auto" w:sz="4" w:space="0"/>
              <w:left w:val="single" w:color="auto" w:sz="4" w:space="0"/>
              <w:right w:val="single" w:color="auto" w:sz="4" w:space="0"/>
            </w:tcBorders>
          </w:tcPr>
          <w:p>
            <w:pPr>
              <w:widowControl/>
              <w:spacing w:before="100" w:beforeAutospacing="1" w:after="100" w:afterAutospacing="1" w:line="195" w:lineRule="atLeast"/>
              <w:jc w:val="center"/>
              <w:rPr>
                <w:rFonts w:ascii="宋体" w:hAnsi="宋体" w:cs="宋体"/>
                <w:kern w:val="0"/>
                <w:szCs w:val="21"/>
              </w:rPr>
            </w:pPr>
          </w:p>
        </w:tc>
        <w:tc>
          <w:tcPr>
            <w:tcW w:w="347" w:type="pct"/>
            <w:tcBorders>
              <w:top w:val="single" w:color="auto" w:sz="4" w:space="0"/>
              <w:left w:val="single" w:color="auto" w:sz="4" w:space="0"/>
              <w:right w:val="single" w:color="auto" w:sz="4" w:space="0"/>
            </w:tcBorders>
            <w:vAlign w:val="center"/>
          </w:tcPr>
          <w:p>
            <w:pPr>
              <w:widowControl/>
              <w:spacing w:before="100" w:beforeAutospacing="1" w:after="100" w:afterAutospacing="1" w:line="195" w:lineRule="atLeast"/>
              <w:jc w:val="center"/>
              <w:rPr>
                <w:rFonts w:ascii="宋体" w:hAnsi="宋体" w:cs="宋体"/>
                <w:kern w:val="0"/>
                <w:szCs w:val="21"/>
              </w:rPr>
            </w:pPr>
          </w:p>
        </w:tc>
        <w:tc>
          <w:tcPr>
            <w:tcW w:w="1022" w:type="pc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195" w:lineRule="atLeast"/>
              <w:jc w:val="center"/>
              <w:rPr>
                <w:rFonts w:ascii="宋体" w:hAnsi="宋体" w:cs="宋体"/>
                <w:kern w:val="0"/>
                <w:szCs w:val="21"/>
              </w:rPr>
            </w:pPr>
          </w:p>
        </w:tc>
        <w:tc>
          <w:tcPr>
            <w:tcW w:w="850" w:type="pct"/>
            <w:tcBorders>
              <w:top w:val="single" w:color="auto" w:sz="4" w:space="0"/>
              <w:left w:val="single" w:color="auto" w:sz="4" w:space="0"/>
              <w:bottom w:val="single" w:color="auto" w:sz="4" w:space="0"/>
              <w:right w:val="single" w:color="auto" w:sz="4" w:space="0"/>
            </w:tcBorders>
            <w:vAlign w:val="center"/>
          </w:tcPr>
          <w:p>
            <w:pPr>
              <w:tabs>
                <w:tab w:val="left" w:pos="1980"/>
              </w:tabs>
              <w:spacing w:line="360" w:lineRule="auto"/>
              <w:rPr>
                <w:rFonts w:ascii="宋体" w:hAnsi="宋体"/>
                <w:szCs w:val="21"/>
              </w:rPr>
            </w:pPr>
          </w:p>
        </w:tc>
        <w:tc>
          <w:tcPr>
            <w:tcW w:w="584" w:type="pct"/>
            <w:tcBorders>
              <w:top w:val="single" w:color="auto" w:sz="4" w:space="0"/>
              <w:left w:val="single" w:color="auto" w:sz="4" w:space="0"/>
              <w:right w:val="single" w:color="auto" w:sz="4" w:space="0"/>
            </w:tcBorders>
          </w:tcPr>
          <w:p>
            <w:pPr>
              <w:jc w:val="center"/>
              <w:rPr>
                <w:rFonts w:ascii="宋体" w:hAnsi="宋体"/>
                <w:szCs w:val="21"/>
              </w:rPr>
            </w:pPr>
          </w:p>
        </w:tc>
        <w:tc>
          <w:tcPr>
            <w:tcW w:w="490" w:type="pct"/>
            <w:tcBorders>
              <w:top w:val="single" w:color="auto" w:sz="4" w:space="0"/>
              <w:left w:val="single" w:color="auto" w:sz="4" w:space="0"/>
              <w:right w:val="single" w:color="auto" w:sz="4" w:space="0"/>
            </w:tcBorders>
          </w:tcPr>
          <w:p>
            <w:pPr>
              <w:jc w:val="center"/>
              <w:rPr>
                <w:rFonts w:ascii="宋体" w:hAnsi="宋体"/>
                <w:szCs w:val="21"/>
              </w:rPr>
            </w:pPr>
          </w:p>
        </w:tc>
        <w:tc>
          <w:tcPr>
            <w:tcW w:w="676" w:type="pct"/>
            <w:tcBorders>
              <w:top w:val="single" w:color="auto" w:sz="4" w:space="0"/>
              <w:left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85" w:type="pct"/>
            <w:tcBorders>
              <w:top w:val="single" w:color="auto" w:sz="4" w:space="0"/>
              <w:left w:val="single" w:color="auto" w:sz="4" w:space="0"/>
              <w:bottom w:val="single" w:color="auto" w:sz="4" w:space="0"/>
              <w:right w:val="single" w:color="auto" w:sz="4" w:space="0"/>
            </w:tcBorders>
          </w:tcPr>
          <w:p>
            <w:pPr>
              <w:tabs>
                <w:tab w:val="left" w:pos="1980"/>
              </w:tabs>
              <w:spacing w:line="360" w:lineRule="auto"/>
              <w:jc w:val="center"/>
              <w:rPr>
                <w:rFonts w:ascii="宋体" w:hAnsi="宋体"/>
                <w:szCs w:val="21"/>
              </w:rPr>
            </w:pPr>
          </w:p>
        </w:tc>
        <w:tc>
          <w:tcPr>
            <w:tcW w:w="399" w:type="pct"/>
            <w:tcBorders>
              <w:top w:val="single" w:color="auto" w:sz="4" w:space="0"/>
              <w:left w:val="single" w:color="auto" w:sz="4" w:space="0"/>
              <w:bottom w:val="single" w:color="auto" w:sz="4" w:space="0"/>
              <w:right w:val="single" w:color="auto" w:sz="4" w:space="0"/>
            </w:tcBorders>
            <w:vAlign w:val="center"/>
          </w:tcPr>
          <w:p>
            <w:pPr>
              <w:tabs>
                <w:tab w:val="left" w:pos="1980"/>
              </w:tabs>
              <w:spacing w:line="360" w:lineRule="auto"/>
              <w:jc w:val="center"/>
              <w:rPr>
                <w:rFonts w:ascii="宋体" w:hAnsi="宋体"/>
                <w:szCs w:val="21"/>
              </w:rPr>
            </w:pPr>
            <w:r>
              <w:rPr>
                <w:rFonts w:hint="eastAsia" w:ascii="宋体" w:hAnsi="宋体"/>
                <w:szCs w:val="21"/>
              </w:rPr>
              <w:t>合计</w:t>
            </w:r>
          </w:p>
        </w:tc>
        <w:tc>
          <w:tcPr>
            <w:tcW w:w="347" w:type="pct"/>
            <w:tcBorders>
              <w:top w:val="single" w:color="auto" w:sz="4" w:space="0"/>
              <w:left w:val="single" w:color="auto" w:sz="4" w:space="0"/>
              <w:bottom w:val="single" w:color="auto" w:sz="4" w:space="0"/>
              <w:right w:val="single" w:color="auto" w:sz="4" w:space="0"/>
            </w:tcBorders>
          </w:tcPr>
          <w:p>
            <w:pPr>
              <w:tabs>
                <w:tab w:val="left" w:pos="1980"/>
              </w:tabs>
              <w:spacing w:line="360" w:lineRule="auto"/>
              <w:rPr>
                <w:rFonts w:ascii="宋体" w:hAnsi="宋体"/>
                <w:szCs w:val="21"/>
              </w:rPr>
            </w:pPr>
          </w:p>
        </w:tc>
        <w:tc>
          <w:tcPr>
            <w:tcW w:w="347" w:type="pct"/>
            <w:tcBorders>
              <w:top w:val="single" w:color="auto" w:sz="4" w:space="0"/>
              <w:left w:val="single" w:color="auto" w:sz="4" w:space="0"/>
              <w:bottom w:val="single" w:color="auto" w:sz="4" w:space="0"/>
              <w:right w:val="single" w:color="auto" w:sz="4" w:space="0"/>
            </w:tcBorders>
            <w:vAlign w:val="center"/>
          </w:tcPr>
          <w:p>
            <w:pPr>
              <w:tabs>
                <w:tab w:val="left" w:pos="1980"/>
              </w:tabs>
              <w:spacing w:line="360" w:lineRule="auto"/>
              <w:rPr>
                <w:rFonts w:ascii="宋体" w:hAnsi="宋体"/>
                <w:szCs w:val="21"/>
              </w:rPr>
            </w:pPr>
          </w:p>
        </w:tc>
        <w:tc>
          <w:tcPr>
            <w:tcW w:w="1022" w:type="pct"/>
            <w:tcBorders>
              <w:top w:val="single" w:color="auto" w:sz="4" w:space="0"/>
              <w:left w:val="single" w:color="auto" w:sz="4" w:space="0"/>
              <w:bottom w:val="single" w:color="auto" w:sz="4" w:space="0"/>
              <w:right w:val="single" w:color="auto" w:sz="4" w:space="0"/>
            </w:tcBorders>
            <w:vAlign w:val="center"/>
          </w:tcPr>
          <w:p>
            <w:pPr>
              <w:tabs>
                <w:tab w:val="left" w:pos="1980"/>
              </w:tabs>
              <w:spacing w:line="360" w:lineRule="auto"/>
              <w:rPr>
                <w:rFonts w:ascii="宋体" w:hAnsi="宋体"/>
                <w:szCs w:val="21"/>
              </w:rPr>
            </w:pPr>
          </w:p>
        </w:tc>
        <w:tc>
          <w:tcPr>
            <w:tcW w:w="850" w:type="pct"/>
            <w:tcBorders>
              <w:top w:val="single" w:color="auto" w:sz="4" w:space="0"/>
              <w:left w:val="single" w:color="auto" w:sz="4" w:space="0"/>
              <w:bottom w:val="single" w:color="auto" w:sz="4" w:space="0"/>
              <w:right w:val="single" w:color="auto" w:sz="4" w:space="0"/>
            </w:tcBorders>
            <w:vAlign w:val="center"/>
          </w:tcPr>
          <w:p>
            <w:pPr>
              <w:tabs>
                <w:tab w:val="left" w:pos="1980"/>
              </w:tabs>
              <w:spacing w:line="360" w:lineRule="auto"/>
              <w:rPr>
                <w:rFonts w:ascii="宋体" w:hAnsi="宋体"/>
                <w:szCs w:val="21"/>
              </w:rPr>
            </w:pPr>
          </w:p>
        </w:tc>
        <w:tc>
          <w:tcPr>
            <w:tcW w:w="584" w:type="pct"/>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c>
          <w:tcPr>
            <w:tcW w:w="490" w:type="pct"/>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c>
          <w:tcPr>
            <w:tcW w:w="67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ind w:firstLine="735" w:firstLineChars="350"/>
              <w:rPr>
                <w:rFonts w:ascii="宋体" w:hAnsi="宋体"/>
                <w:szCs w:val="21"/>
              </w:rPr>
            </w:pPr>
            <w:r>
              <w:rPr>
                <w:rFonts w:hint="eastAsia" w:ascii="宋体" w:hAnsi="宋体"/>
                <w:szCs w:val="21"/>
              </w:rPr>
              <w:t>合计金额（大写）：元</w:t>
            </w:r>
          </w:p>
        </w:tc>
      </w:tr>
    </w:tbl>
    <w:p>
      <w:pPr>
        <w:ind w:firstLine="420" w:firstLineChars="200"/>
        <w:rPr>
          <w:rFonts w:ascii="宋体" w:hAnsi="宋体"/>
          <w:bCs/>
          <w:szCs w:val="21"/>
        </w:rPr>
      </w:pPr>
      <w:r>
        <w:rPr>
          <w:rFonts w:hint="eastAsia" w:ascii="宋体" w:hAnsi="宋体"/>
          <w:bCs/>
          <w:szCs w:val="21"/>
        </w:rPr>
        <w:t>投标人按照比选项目技术要求的顺序对应填写（响应情况项应答“完全响应”或“全部响应”的视为已按顺序逐条对应响应）。</w:t>
      </w:r>
    </w:p>
    <w:p>
      <w:pPr>
        <w:ind w:firstLine="420" w:firstLineChars="200"/>
        <w:rPr>
          <w:rFonts w:ascii="宋体" w:hAnsi="宋体"/>
          <w:bCs/>
          <w:szCs w:val="21"/>
        </w:rPr>
      </w:pPr>
      <w:r>
        <w:rPr>
          <w:rFonts w:hint="eastAsia" w:ascii="宋体" w:hAnsi="宋体"/>
          <w:bCs/>
          <w:szCs w:val="21"/>
        </w:rPr>
        <w:t>投标人必须据实填写，不得虚假响应，否则将取消其投标或中标资格。</w:t>
      </w:r>
    </w:p>
    <w:p>
      <w:pPr>
        <w:spacing w:line="400" w:lineRule="exact"/>
        <w:ind w:firstLine="424" w:firstLineChars="202"/>
        <w:rPr>
          <w:rFonts w:ascii="宋体" w:hAnsi="宋体"/>
          <w:bCs/>
          <w:szCs w:val="21"/>
        </w:rPr>
      </w:pPr>
      <w:r>
        <w:rPr>
          <w:rFonts w:hint="eastAsia" w:ascii="宋体" w:hAnsi="宋体"/>
          <w:bCs/>
          <w:szCs w:val="21"/>
        </w:rPr>
        <w:t>声明：除本偏离表所列的偏离指标外，其他所有技术参数指标均完全响应比选的要求。</w:t>
      </w:r>
    </w:p>
    <w:p>
      <w:pPr>
        <w:spacing w:line="400" w:lineRule="exact"/>
        <w:rPr>
          <w:rFonts w:ascii="宋体" w:hAnsi="宋体"/>
          <w:szCs w:val="21"/>
        </w:rPr>
      </w:pPr>
    </w:p>
    <w:p>
      <w:pPr>
        <w:spacing w:line="400" w:lineRule="exact"/>
        <w:ind w:firstLine="4305" w:firstLineChars="2050"/>
        <w:rPr>
          <w:rFonts w:ascii="宋体" w:hAnsi="宋体"/>
          <w:szCs w:val="21"/>
        </w:rPr>
      </w:pPr>
      <w:r>
        <w:rPr>
          <w:rFonts w:hint="eastAsia" w:ascii="宋体" w:hAnsi="宋体"/>
          <w:szCs w:val="21"/>
        </w:rPr>
        <w:t>比选申请人全称：</w:t>
      </w:r>
      <w:r>
        <w:rPr>
          <w:rFonts w:hint="eastAsia" w:ascii="宋体" w:hAnsi="宋体"/>
          <w:szCs w:val="21"/>
          <w:u w:val="single"/>
        </w:rPr>
        <w:t xml:space="preserve">     （公章）         </w:t>
      </w:r>
    </w:p>
    <w:p>
      <w:pPr>
        <w:spacing w:line="400" w:lineRule="exact"/>
        <w:ind w:firstLine="4305" w:firstLineChars="2050"/>
        <w:rPr>
          <w:rFonts w:ascii="宋体" w:hAnsi="宋体"/>
          <w:szCs w:val="21"/>
          <w:u w:val="single"/>
        </w:rPr>
      </w:pPr>
      <w:r>
        <w:rPr>
          <w:rFonts w:hint="eastAsia" w:ascii="宋体" w:hAnsi="宋体"/>
          <w:szCs w:val="21"/>
        </w:rPr>
        <w:t>法定代表人或授权代理人：</w:t>
      </w:r>
      <w:r>
        <w:rPr>
          <w:rFonts w:hint="eastAsia" w:ascii="宋体" w:hAnsi="宋体"/>
          <w:szCs w:val="21"/>
          <w:u w:val="single"/>
        </w:rPr>
        <w:t xml:space="preserve">     （签名）         </w:t>
      </w:r>
    </w:p>
    <w:p>
      <w:pPr>
        <w:spacing w:line="580" w:lineRule="exact"/>
        <w:ind w:left="1260" w:hanging="1260" w:hangingChars="600"/>
        <w:rPr>
          <w:rFonts w:ascii="宋体" w:hAnsi="宋体"/>
          <w:szCs w:val="21"/>
        </w:rPr>
      </w:pPr>
      <w:r>
        <w:rPr>
          <w:rFonts w:hint="eastAsia" w:ascii="宋体" w:hAnsi="宋体"/>
          <w:szCs w:val="21"/>
        </w:rPr>
        <w:t xml:space="preserve">                                                                  年       月      日</w:t>
      </w:r>
    </w:p>
    <w:p>
      <w:pPr>
        <w:rPr>
          <w:rFonts w:ascii="Calibri" w:hAnsi="Calibri"/>
        </w:rPr>
      </w:pPr>
    </w:p>
    <w:p>
      <w:pPr>
        <w:spacing w:line="400" w:lineRule="exact"/>
        <w:rPr>
          <w:rFonts w:ascii="Calibri" w:hAnsi="Calibri"/>
          <w:sz w:val="24"/>
        </w:rPr>
        <w:sectPr>
          <w:pgSz w:w="16838" w:h="11906" w:orient="landscape"/>
          <w:pgMar w:top="1985" w:right="1418" w:bottom="1701" w:left="1418" w:header="851" w:footer="992" w:gutter="0"/>
          <w:cols w:space="425" w:num="1"/>
          <w:docGrid w:type="linesAndChars" w:linePitch="312" w:charSpace="0"/>
        </w:sectPr>
      </w:pPr>
    </w:p>
    <w:p>
      <w:pPr>
        <w:spacing w:line="400" w:lineRule="exact"/>
        <w:rPr>
          <w:rFonts w:asciiTheme="minorEastAsia" w:hAnsiTheme="minorEastAsia"/>
          <w:sz w:val="24"/>
        </w:rPr>
      </w:pPr>
      <w:r>
        <w:rPr>
          <w:rFonts w:asciiTheme="minorEastAsia" w:hAnsiTheme="minorEastAsia"/>
          <w:sz w:val="24"/>
        </w:rPr>
        <w:t>附件</w:t>
      </w:r>
      <w:r>
        <w:rPr>
          <w:rFonts w:hint="eastAsia" w:asciiTheme="minorEastAsia" w:hAnsiTheme="minorEastAsia"/>
          <w:sz w:val="24"/>
        </w:rPr>
        <w:t>3</w:t>
      </w:r>
    </w:p>
    <w:p>
      <w:pPr>
        <w:jc w:val="center"/>
        <w:rPr>
          <w:rFonts w:ascii="Calibri" w:hAnsi="Calibri"/>
          <w:b/>
          <w:sz w:val="30"/>
          <w:szCs w:val="30"/>
        </w:rPr>
      </w:pPr>
      <w:r>
        <w:rPr>
          <w:rFonts w:hint="eastAsia" w:ascii="Calibri" w:hAnsi="Calibri"/>
          <w:b/>
          <w:sz w:val="30"/>
          <w:szCs w:val="30"/>
        </w:rPr>
        <w:t>商务要求偏离表</w:t>
      </w:r>
    </w:p>
    <w:p>
      <w:pPr>
        <w:snapToGrid w:val="0"/>
        <w:ind w:left="1084" w:right="-624" w:rightChars="-297" w:hanging="1084" w:hangingChars="514"/>
        <w:rPr>
          <w:rFonts w:ascii="宋体" w:hAnsi="宋体"/>
          <w:b/>
          <w:szCs w:val="21"/>
        </w:rPr>
      </w:pPr>
      <w:r>
        <w:rPr>
          <w:rFonts w:hint="eastAsia" w:ascii="宋体" w:hAnsi="宋体"/>
          <w:b/>
          <w:szCs w:val="21"/>
        </w:rPr>
        <w:t>项目名称：成都大学*****采购项目</w:t>
      </w:r>
    </w:p>
    <w:tbl>
      <w:tblPr>
        <w:tblStyle w:val="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3059"/>
        <w:gridCol w:w="2720"/>
        <w:gridCol w:w="19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9" w:hRule="exact"/>
          <w:jc w:val="center"/>
        </w:trPr>
        <w:tc>
          <w:tcPr>
            <w:tcW w:w="446" w:type="pct"/>
            <w:tcBorders>
              <w:top w:val="single" w:color="auto" w:sz="8" w:space="0"/>
              <w:left w:val="single" w:color="auto" w:sz="8"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序</w:t>
            </w:r>
          </w:p>
          <w:p>
            <w:pPr>
              <w:spacing w:line="400" w:lineRule="exact"/>
              <w:jc w:val="center"/>
              <w:rPr>
                <w:rFonts w:ascii="宋体" w:hAnsi="宋体"/>
                <w:szCs w:val="21"/>
              </w:rPr>
            </w:pPr>
            <w:r>
              <w:rPr>
                <w:rFonts w:hint="eastAsia" w:ascii="宋体" w:hAnsi="宋体"/>
                <w:szCs w:val="21"/>
              </w:rPr>
              <w:t>号</w:t>
            </w:r>
          </w:p>
        </w:tc>
        <w:tc>
          <w:tcPr>
            <w:tcW w:w="1795" w:type="pct"/>
            <w:tcBorders>
              <w:top w:val="single" w:color="auto" w:sz="8" w:space="0"/>
              <w:left w:val="single" w:color="auto" w:sz="4" w:space="0"/>
              <w:bottom w:val="single" w:color="auto" w:sz="4" w:space="0"/>
              <w:right w:val="single" w:color="auto" w:sz="4" w:space="0"/>
            </w:tcBorders>
            <w:vAlign w:val="center"/>
          </w:tcPr>
          <w:p>
            <w:pPr>
              <w:spacing w:line="500" w:lineRule="exact"/>
              <w:jc w:val="center"/>
              <w:rPr>
                <w:rFonts w:ascii="宋体" w:hAnsi="宋体"/>
                <w:szCs w:val="21"/>
              </w:rPr>
            </w:pPr>
            <w:r>
              <w:rPr>
                <w:rFonts w:hint="eastAsia" w:ascii="宋体" w:hAnsi="宋体"/>
                <w:szCs w:val="21"/>
              </w:rPr>
              <w:t>比选文件要求的商务要求</w:t>
            </w:r>
          </w:p>
        </w:tc>
        <w:tc>
          <w:tcPr>
            <w:tcW w:w="1596" w:type="pct"/>
            <w:tcBorders>
              <w:top w:val="single" w:color="auto" w:sz="8" w:space="0"/>
              <w:left w:val="single" w:color="auto" w:sz="4" w:space="0"/>
              <w:bottom w:val="single" w:color="auto" w:sz="4" w:space="0"/>
              <w:right w:val="single" w:color="auto" w:sz="4" w:space="0"/>
            </w:tcBorders>
            <w:vAlign w:val="center"/>
          </w:tcPr>
          <w:p>
            <w:pPr>
              <w:spacing w:line="500" w:lineRule="exact"/>
              <w:jc w:val="center"/>
              <w:rPr>
                <w:rFonts w:ascii="宋体" w:hAnsi="宋体"/>
                <w:szCs w:val="21"/>
              </w:rPr>
            </w:pPr>
            <w:r>
              <w:rPr>
                <w:rFonts w:hint="eastAsia" w:ascii="宋体" w:hAnsi="宋体"/>
                <w:szCs w:val="21"/>
              </w:rPr>
              <w:t>投标人承诺的商务要求</w:t>
            </w:r>
          </w:p>
        </w:tc>
        <w:tc>
          <w:tcPr>
            <w:tcW w:w="1163" w:type="pct"/>
            <w:tcBorders>
              <w:top w:val="single" w:color="auto" w:sz="8" w:space="0"/>
              <w:left w:val="single" w:color="auto" w:sz="4" w:space="0"/>
              <w:bottom w:val="single" w:color="auto" w:sz="4" w:space="0"/>
              <w:right w:val="single" w:color="auto" w:sz="8" w:space="0"/>
            </w:tcBorders>
            <w:vAlign w:val="center"/>
          </w:tcPr>
          <w:p>
            <w:pPr>
              <w:spacing w:line="500" w:lineRule="exact"/>
              <w:jc w:val="center"/>
              <w:rPr>
                <w:rFonts w:ascii="宋体" w:hAnsi="宋体"/>
                <w:szCs w:val="21"/>
              </w:rPr>
            </w:pPr>
            <w:r>
              <w:rPr>
                <w:rFonts w:hint="eastAsia" w:ascii="宋体" w:hAnsi="宋体"/>
                <w:szCs w:val="21"/>
              </w:rPr>
              <w:t>响应情况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446" w:type="pct"/>
            <w:tcBorders>
              <w:top w:val="single" w:color="auto" w:sz="4" w:space="0"/>
              <w:left w:val="single" w:color="auto" w:sz="8" w:space="0"/>
              <w:bottom w:val="single" w:color="auto" w:sz="4" w:space="0"/>
              <w:right w:val="single" w:color="auto" w:sz="4" w:space="0"/>
            </w:tcBorders>
          </w:tcPr>
          <w:p>
            <w:pPr>
              <w:spacing w:line="500" w:lineRule="exact"/>
              <w:rPr>
                <w:rFonts w:ascii="宋体" w:hAnsi="宋体"/>
                <w:szCs w:val="21"/>
              </w:rPr>
            </w:pPr>
          </w:p>
        </w:tc>
        <w:tc>
          <w:tcPr>
            <w:tcW w:w="1795" w:type="pct"/>
            <w:tcBorders>
              <w:top w:val="single" w:color="auto" w:sz="4" w:space="0"/>
              <w:left w:val="single" w:color="auto" w:sz="4" w:space="0"/>
              <w:bottom w:val="single" w:color="auto" w:sz="4" w:space="0"/>
              <w:right w:val="single" w:color="auto" w:sz="4" w:space="0"/>
            </w:tcBorders>
          </w:tcPr>
          <w:p>
            <w:pPr>
              <w:spacing w:line="500" w:lineRule="exact"/>
              <w:rPr>
                <w:rFonts w:ascii="宋体" w:hAnsi="宋体"/>
                <w:szCs w:val="21"/>
              </w:rPr>
            </w:pPr>
          </w:p>
        </w:tc>
        <w:tc>
          <w:tcPr>
            <w:tcW w:w="1596" w:type="pct"/>
            <w:tcBorders>
              <w:top w:val="single" w:color="auto" w:sz="4" w:space="0"/>
              <w:left w:val="single" w:color="auto" w:sz="4" w:space="0"/>
              <w:bottom w:val="single" w:color="auto" w:sz="4" w:space="0"/>
              <w:right w:val="single" w:color="auto" w:sz="4" w:space="0"/>
            </w:tcBorders>
          </w:tcPr>
          <w:p>
            <w:pPr>
              <w:spacing w:line="500" w:lineRule="exact"/>
              <w:rPr>
                <w:rFonts w:ascii="宋体" w:hAnsi="宋体"/>
                <w:szCs w:val="21"/>
              </w:rPr>
            </w:pPr>
          </w:p>
        </w:tc>
        <w:tc>
          <w:tcPr>
            <w:tcW w:w="1163" w:type="pct"/>
            <w:tcBorders>
              <w:top w:val="single" w:color="auto" w:sz="4" w:space="0"/>
              <w:left w:val="single" w:color="auto" w:sz="4" w:space="0"/>
              <w:bottom w:val="single" w:color="auto" w:sz="4" w:space="0"/>
              <w:right w:val="single" w:color="auto" w:sz="8" w:space="0"/>
            </w:tcBorders>
          </w:tcPr>
          <w:p>
            <w:pPr>
              <w:spacing w:line="500" w:lineRule="exac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446" w:type="pct"/>
            <w:tcBorders>
              <w:top w:val="single" w:color="auto" w:sz="4" w:space="0"/>
              <w:left w:val="single" w:color="auto" w:sz="8" w:space="0"/>
              <w:bottom w:val="single" w:color="auto" w:sz="4" w:space="0"/>
              <w:right w:val="single" w:color="auto" w:sz="4" w:space="0"/>
            </w:tcBorders>
          </w:tcPr>
          <w:p>
            <w:pPr>
              <w:spacing w:line="500" w:lineRule="exact"/>
              <w:rPr>
                <w:rFonts w:ascii="宋体" w:hAnsi="宋体"/>
                <w:szCs w:val="21"/>
              </w:rPr>
            </w:pPr>
          </w:p>
        </w:tc>
        <w:tc>
          <w:tcPr>
            <w:tcW w:w="1795" w:type="pct"/>
            <w:tcBorders>
              <w:top w:val="single" w:color="auto" w:sz="4" w:space="0"/>
              <w:left w:val="single" w:color="auto" w:sz="4" w:space="0"/>
              <w:bottom w:val="single" w:color="auto" w:sz="4" w:space="0"/>
              <w:right w:val="single" w:color="auto" w:sz="4" w:space="0"/>
            </w:tcBorders>
          </w:tcPr>
          <w:p>
            <w:pPr>
              <w:spacing w:line="500" w:lineRule="exact"/>
              <w:rPr>
                <w:rFonts w:ascii="宋体" w:hAnsi="宋体"/>
                <w:szCs w:val="21"/>
              </w:rPr>
            </w:pPr>
          </w:p>
        </w:tc>
        <w:tc>
          <w:tcPr>
            <w:tcW w:w="1596" w:type="pct"/>
            <w:tcBorders>
              <w:top w:val="single" w:color="auto" w:sz="4" w:space="0"/>
              <w:left w:val="single" w:color="auto" w:sz="4" w:space="0"/>
              <w:bottom w:val="single" w:color="auto" w:sz="4" w:space="0"/>
              <w:right w:val="single" w:color="auto" w:sz="4" w:space="0"/>
            </w:tcBorders>
          </w:tcPr>
          <w:p>
            <w:pPr>
              <w:spacing w:line="500" w:lineRule="exact"/>
              <w:rPr>
                <w:rFonts w:ascii="宋体" w:hAnsi="宋体"/>
                <w:szCs w:val="21"/>
              </w:rPr>
            </w:pPr>
          </w:p>
        </w:tc>
        <w:tc>
          <w:tcPr>
            <w:tcW w:w="1163" w:type="pct"/>
            <w:tcBorders>
              <w:top w:val="single" w:color="auto" w:sz="4" w:space="0"/>
              <w:left w:val="single" w:color="auto" w:sz="4" w:space="0"/>
              <w:bottom w:val="single" w:color="auto" w:sz="4" w:space="0"/>
              <w:right w:val="single" w:color="auto" w:sz="8" w:space="0"/>
            </w:tcBorders>
          </w:tcPr>
          <w:p>
            <w:pPr>
              <w:spacing w:line="500" w:lineRule="exac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446" w:type="pct"/>
            <w:tcBorders>
              <w:top w:val="single" w:color="auto" w:sz="4" w:space="0"/>
              <w:left w:val="single" w:color="auto" w:sz="8" w:space="0"/>
              <w:bottom w:val="single" w:color="auto" w:sz="4" w:space="0"/>
              <w:right w:val="single" w:color="auto" w:sz="4" w:space="0"/>
            </w:tcBorders>
          </w:tcPr>
          <w:p>
            <w:pPr>
              <w:spacing w:line="500" w:lineRule="exact"/>
              <w:rPr>
                <w:rFonts w:ascii="宋体" w:hAnsi="宋体"/>
                <w:szCs w:val="21"/>
              </w:rPr>
            </w:pPr>
          </w:p>
        </w:tc>
        <w:tc>
          <w:tcPr>
            <w:tcW w:w="1795" w:type="pct"/>
            <w:tcBorders>
              <w:top w:val="single" w:color="auto" w:sz="4" w:space="0"/>
              <w:left w:val="single" w:color="auto" w:sz="4" w:space="0"/>
              <w:bottom w:val="single" w:color="auto" w:sz="4" w:space="0"/>
              <w:right w:val="single" w:color="auto" w:sz="4" w:space="0"/>
            </w:tcBorders>
          </w:tcPr>
          <w:p>
            <w:pPr>
              <w:spacing w:line="500" w:lineRule="exact"/>
              <w:rPr>
                <w:rFonts w:ascii="宋体" w:hAnsi="宋体"/>
                <w:szCs w:val="21"/>
              </w:rPr>
            </w:pPr>
          </w:p>
        </w:tc>
        <w:tc>
          <w:tcPr>
            <w:tcW w:w="1596" w:type="pct"/>
            <w:tcBorders>
              <w:top w:val="single" w:color="auto" w:sz="4" w:space="0"/>
              <w:left w:val="single" w:color="auto" w:sz="4" w:space="0"/>
              <w:bottom w:val="single" w:color="auto" w:sz="4" w:space="0"/>
              <w:right w:val="single" w:color="auto" w:sz="4" w:space="0"/>
            </w:tcBorders>
          </w:tcPr>
          <w:p>
            <w:pPr>
              <w:spacing w:line="500" w:lineRule="exact"/>
              <w:rPr>
                <w:rFonts w:ascii="宋体" w:hAnsi="宋体"/>
                <w:szCs w:val="21"/>
              </w:rPr>
            </w:pPr>
          </w:p>
        </w:tc>
        <w:tc>
          <w:tcPr>
            <w:tcW w:w="1163" w:type="pct"/>
            <w:tcBorders>
              <w:top w:val="single" w:color="auto" w:sz="4" w:space="0"/>
              <w:left w:val="single" w:color="auto" w:sz="4" w:space="0"/>
              <w:bottom w:val="single" w:color="auto" w:sz="4" w:space="0"/>
              <w:right w:val="single" w:color="auto" w:sz="8" w:space="0"/>
            </w:tcBorders>
          </w:tcPr>
          <w:p>
            <w:pPr>
              <w:spacing w:line="500" w:lineRule="exac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446" w:type="pct"/>
            <w:tcBorders>
              <w:top w:val="single" w:color="auto" w:sz="4" w:space="0"/>
              <w:left w:val="single" w:color="auto" w:sz="8" w:space="0"/>
              <w:bottom w:val="single" w:color="auto" w:sz="4" w:space="0"/>
              <w:right w:val="single" w:color="auto" w:sz="4" w:space="0"/>
            </w:tcBorders>
          </w:tcPr>
          <w:p>
            <w:pPr>
              <w:spacing w:line="500" w:lineRule="exact"/>
              <w:rPr>
                <w:rFonts w:ascii="宋体" w:hAnsi="宋体"/>
                <w:szCs w:val="21"/>
              </w:rPr>
            </w:pPr>
          </w:p>
        </w:tc>
        <w:tc>
          <w:tcPr>
            <w:tcW w:w="1795" w:type="pct"/>
            <w:tcBorders>
              <w:top w:val="single" w:color="auto" w:sz="4" w:space="0"/>
              <w:left w:val="single" w:color="auto" w:sz="4" w:space="0"/>
              <w:bottom w:val="single" w:color="auto" w:sz="4" w:space="0"/>
              <w:right w:val="single" w:color="auto" w:sz="4" w:space="0"/>
            </w:tcBorders>
          </w:tcPr>
          <w:p>
            <w:pPr>
              <w:spacing w:line="500" w:lineRule="exact"/>
              <w:rPr>
                <w:rFonts w:ascii="宋体" w:hAnsi="宋体"/>
                <w:szCs w:val="21"/>
              </w:rPr>
            </w:pPr>
          </w:p>
        </w:tc>
        <w:tc>
          <w:tcPr>
            <w:tcW w:w="1596" w:type="pct"/>
            <w:tcBorders>
              <w:top w:val="single" w:color="auto" w:sz="4" w:space="0"/>
              <w:left w:val="single" w:color="auto" w:sz="4" w:space="0"/>
              <w:bottom w:val="single" w:color="auto" w:sz="4" w:space="0"/>
              <w:right w:val="single" w:color="auto" w:sz="4" w:space="0"/>
            </w:tcBorders>
          </w:tcPr>
          <w:p>
            <w:pPr>
              <w:spacing w:line="500" w:lineRule="exact"/>
              <w:rPr>
                <w:rFonts w:ascii="宋体" w:hAnsi="宋体"/>
                <w:szCs w:val="21"/>
              </w:rPr>
            </w:pPr>
          </w:p>
        </w:tc>
        <w:tc>
          <w:tcPr>
            <w:tcW w:w="1163" w:type="pct"/>
            <w:tcBorders>
              <w:top w:val="single" w:color="auto" w:sz="4" w:space="0"/>
              <w:left w:val="single" w:color="auto" w:sz="4" w:space="0"/>
              <w:bottom w:val="single" w:color="auto" w:sz="4" w:space="0"/>
              <w:right w:val="single" w:color="auto" w:sz="8" w:space="0"/>
            </w:tcBorders>
          </w:tcPr>
          <w:p>
            <w:pPr>
              <w:spacing w:line="500" w:lineRule="exac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446" w:type="pct"/>
            <w:tcBorders>
              <w:top w:val="single" w:color="auto" w:sz="4" w:space="0"/>
              <w:left w:val="single" w:color="auto" w:sz="8" w:space="0"/>
              <w:bottom w:val="single" w:color="auto" w:sz="4" w:space="0"/>
              <w:right w:val="single" w:color="auto" w:sz="4" w:space="0"/>
            </w:tcBorders>
          </w:tcPr>
          <w:p>
            <w:pPr>
              <w:spacing w:line="500" w:lineRule="exact"/>
              <w:rPr>
                <w:rFonts w:ascii="宋体" w:hAnsi="宋体"/>
                <w:szCs w:val="21"/>
              </w:rPr>
            </w:pPr>
          </w:p>
        </w:tc>
        <w:tc>
          <w:tcPr>
            <w:tcW w:w="1795" w:type="pct"/>
            <w:tcBorders>
              <w:top w:val="single" w:color="auto" w:sz="4" w:space="0"/>
              <w:left w:val="single" w:color="auto" w:sz="4" w:space="0"/>
              <w:bottom w:val="single" w:color="auto" w:sz="4" w:space="0"/>
              <w:right w:val="single" w:color="auto" w:sz="4" w:space="0"/>
            </w:tcBorders>
          </w:tcPr>
          <w:p>
            <w:pPr>
              <w:spacing w:line="500" w:lineRule="exact"/>
              <w:rPr>
                <w:rFonts w:ascii="宋体" w:hAnsi="宋体"/>
                <w:szCs w:val="21"/>
              </w:rPr>
            </w:pPr>
          </w:p>
        </w:tc>
        <w:tc>
          <w:tcPr>
            <w:tcW w:w="1596" w:type="pct"/>
            <w:tcBorders>
              <w:top w:val="single" w:color="auto" w:sz="4" w:space="0"/>
              <w:left w:val="single" w:color="auto" w:sz="4" w:space="0"/>
              <w:bottom w:val="single" w:color="auto" w:sz="4" w:space="0"/>
              <w:right w:val="single" w:color="auto" w:sz="4" w:space="0"/>
            </w:tcBorders>
          </w:tcPr>
          <w:p>
            <w:pPr>
              <w:spacing w:line="500" w:lineRule="exact"/>
              <w:rPr>
                <w:rFonts w:ascii="宋体" w:hAnsi="宋体"/>
                <w:szCs w:val="21"/>
              </w:rPr>
            </w:pPr>
          </w:p>
        </w:tc>
        <w:tc>
          <w:tcPr>
            <w:tcW w:w="1163" w:type="pct"/>
            <w:tcBorders>
              <w:top w:val="single" w:color="auto" w:sz="4" w:space="0"/>
              <w:left w:val="single" w:color="auto" w:sz="4" w:space="0"/>
              <w:bottom w:val="single" w:color="auto" w:sz="4" w:space="0"/>
              <w:right w:val="single" w:color="auto" w:sz="8" w:space="0"/>
            </w:tcBorders>
          </w:tcPr>
          <w:p>
            <w:pPr>
              <w:spacing w:line="500" w:lineRule="exac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446" w:type="pct"/>
            <w:tcBorders>
              <w:top w:val="single" w:color="auto" w:sz="4" w:space="0"/>
              <w:left w:val="single" w:color="auto" w:sz="8" w:space="0"/>
              <w:bottom w:val="single" w:color="auto" w:sz="4" w:space="0"/>
              <w:right w:val="single" w:color="auto" w:sz="4" w:space="0"/>
            </w:tcBorders>
          </w:tcPr>
          <w:p>
            <w:pPr>
              <w:spacing w:line="500" w:lineRule="exact"/>
              <w:rPr>
                <w:rFonts w:ascii="宋体" w:hAnsi="宋体"/>
                <w:szCs w:val="21"/>
              </w:rPr>
            </w:pPr>
          </w:p>
        </w:tc>
        <w:tc>
          <w:tcPr>
            <w:tcW w:w="1795" w:type="pct"/>
            <w:tcBorders>
              <w:top w:val="single" w:color="auto" w:sz="4" w:space="0"/>
              <w:left w:val="single" w:color="auto" w:sz="4" w:space="0"/>
              <w:bottom w:val="single" w:color="auto" w:sz="4" w:space="0"/>
              <w:right w:val="single" w:color="auto" w:sz="4" w:space="0"/>
            </w:tcBorders>
          </w:tcPr>
          <w:p>
            <w:pPr>
              <w:spacing w:line="500" w:lineRule="exact"/>
              <w:rPr>
                <w:rFonts w:ascii="宋体" w:hAnsi="宋体"/>
                <w:szCs w:val="21"/>
              </w:rPr>
            </w:pPr>
          </w:p>
        </w:tc>
        <w:tc>
          <w:tcPr>
            <w:tcW w:w="1596" w:type="pct"/>
            <w:tcBorders>
              <w:top w:val="single" w:color="auto" w:sz="4" w:space="0"/>
              <w:left w:val="single" w:color="auto" w:sz="4" w:space="0"/>
              <w:bottom w:val="single" w:color="auto" w:sz="4" w:space="0"/>
              <w:right w:val="single" w:color="auto" w:sz="4" w:space="0"/>
            </w:tcBorders>
          </w:tcPr>
          <w:p>
            <w:pPr>
              <w:spacing w:line="500" w:lineRule="exact"/>
              <w:rPr>
                <w:rFonts w:ascii="宋体" w:hAnsi="宋体"/>
                <w:szCs w:val="21"/>
              </w:rPr>
            </w:pPr>
          </w:p>
        </w:tc>
        <w:tc>
          <w:tcPr>
            <w:tcW w:w="1163" w:type="pct"/>
            <w:tcBorders>
              <w:top w:val="single" w:color="auto" w:sz="4" w:space="0"/>
              <w:left w:val="single" w:color="auto" w:sz="4" w:space="0"/>
              <w:bottom w:val="single" w:color="auto" w:sz="4" w:space="0"/>
              <w:right w:val="single" w:color="auto" w:sz="8" w:space="0"/>
            </w:tcBorders>
          </w:tcPr>
          <w:p>
            <w:pPr>
              <w:spacing w:line="500" w:lineRule="exact"/>
              <w:rPr>
                <w:rFonts w:ascii="宋体" w:hAnsi="宋体"/>
                <w:szCs w:val="21"/>
              </w:rPr>
            </w:pPr>
          </w:p>
        </w:tc>
      </w:tr>
    </w:tbl>
    <w:p>
      <w:pPr>
        <w:ind w:firstLine="420" w:firstLineChars="200"/>
        <w:rPr>
          <w:rFonts w:ascii="宋体" w:hAnsi="宋体"/>
          <w:bCs/>
          <w:szCs w:val="21"/>
        </w:rPr>
      </w:pPr>
      <w:r>
        <w:rPr>
          <w:rFonts w:hint="eastAsia" w:ascii="宋体" w:hAnsi="宋体"/>
          <w:bCs/>
          <w:szCs w:val="21"/>
        </w:rPr>
        <w:t>投标人按照比选项目相应商务要求的顺序逐条对应填写（应答“完全响应”或“全部响应”的视为已按顺序逐条对应响应）。</w:t>
      </w:r>
    </w:p>
    <w:p>
      <w:pPr>
        <w:ind w:firstLine="420" w:firstLineChars="200"/>
        <w:rPr>
          <w:rFonts w:ascii="宋体" w:hAnsi="宋体"/>
          <w:bCs/>
          <w:szCs w:val="21"/>
        </w:rPr>
      </w:pPr>
      <w:r>
        <w:rPr>
          <w:rFonts w:hint="eastAsia" w:ascii="宋体" w:hAnsi="宋体"/>
          <w:bCs/>
          <w:szCs w:val="21"/>
        </w:rPr>
        <w:t>投标人必须据实填写，不得虚假填写，否则将取消其投标或中标资格</w:t>
      </w:r>
    </w:p>
    <w:p>
      <w:pPr>
        <w:spacing w:line="400" w:lineRule="exact"/>
        <w:ind w:firstLine="424" w:firstLineChars="202"/>
        <w:rPr>
          <w:rFonts w:ascii="宋体" w:hAnsi="宋体"/>
          <w:bCs/>
          <w:szCs w:val="21"/>
        </w:rPr>
      </w:pPr>
      <w:r>
        <w:rPr>
          <w:rFonts w:hint="eastAsia" w:ascii="宋体" w:hAnsi="宋体"/>
          <w:bCs/>
          <w:szCs w:val="21"/>
        </w:rPr>
        <w:t>声明：除本偏离表所列的偏离指标外，其他所有商务要求均完全响应“招标文件”中的要求。</w:t>
      </w:r>
    </w:p>
    <w:p>
      <w:pPr>
        <w:adjustRightInd w:val="0"/>
        <w:spacing w:line="400" w:lineRule="exact"/>
        <w:ind w:firstLine="367" w:firstLineChars="175"/>
        <w:jc w:val="left"/>
        <w:rPr>
          <w:rFonts w:ascii="宋体" w:hAnsi="宋体"/>
          <w:bCs/>
          <w:szCs w:val="21"/>
        </w:rPr>
      </w:pPr>
    </w:p>
    <w:p>
      <w:pPr>
        <w:pStyle w:val="2"/>
        <w:spacing w:line="360" w:lineRule="auto"/>
        <w:ind w:firstLine="216" w:firstLineChars="103"/>
        <w:rPr>
          <w:rFonts w:ascii="Calibri" w:hAnsi="Calibri" w:eastAsia="宋体" w:cs="Times New Roman"/>
          <w:bCs/>
          <w:szCs w:val="21"/>
        </w:rPr>
      </w:pPr>
      <w:r>
        <w:rPr>
          <w:rFonts w:hint="eastAsia" w:ascii="Calibri" w:hAnsi="Calibri" w:eastAsia="宋体" w:cs="Times New Roman"/>
          <w:bCs/>
          <w:szCs w:val="21"/>
        </w:rPr>
        <w:t>投标人名称：（加盖公章）</w:t>
      </w:r>
    </w:p>
    <w:p>
      <w:pPr>
        <w:pStyle w:val="2"/>
        <w:ind w:firstLine="216" w:firstLineChars="103"/>
        <w:rPr>
          <w:rFonts w:ascii="Calibri" w:hAnsi="Calibri" w:eastAsia="宋体" w:cs="Times New Roman"/>
          <w:bCs/>
          <w:szCs w:val="21"/>
        </w:rPr>
      </w:pPr>
      <w:r>
        <w:rPr>
          <w:rFonts w:hint="eastAsia" w:ascii="Calibri" w:hAnsi="Calibri" w:eastAsia="宋体" w:cs="Times New Roman"/>
          <w:bCs/>
          <w:szCs w:val="21"/>
        </w:rPr>
        <w:t>法定代表人或授权代理人：（签字）</w:t>
      </w:r>
    </w:p>
    <w:p>
      <w:pPr>
        <w:pStyle w:val="2"/>
        <w:ind w:firstLine="216" w:firstLineChars="103"/>
        <w:rPr>
          <w:rFonts w:ascii="Calibri" w:hAnsi="Calibri" w:eastAsia="宋体" w:cs="Times New Roman"/>
          <w:bCs/>
          <w:szCs w:val="21"/>
          <w:u w:val="single"/>
        </w:rPr>
      </w:pPr>
      <w:r>
        <w:rPr>
          <w:rFonts w:hint="eastAsia" w:ascii="Calibri" w:hAnsi="Calibri" w:eastAsia="宋体" w:cs="Times New Roman"/>
          <w:bCs/>
          <w:szCs w:val="21"/>
        </w:rPr>
        <w:t>日期：</w:t>
      </w:r>
    </w:p>
    <w:p>
      <w:pPr>
        <w:spacing w:line="280" w:lineRule="exact"/>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decorative"/>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方正黑体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6F7AC9"/>
    <w:multiLevelType w:val="multilevel"/>
    <w:tmpl w:val="5B6F7AC9"/>
    <w:lvl w:ilvl="0" w:tentative="0">
      <w:start w:val="1"/>
      <w:numFmt w:val="japaneseCounting"/>
      <w:lvlText w:val="%1、"/>
      <w:lvlJc w:val="left"/>
      <w:pPr>
        <w:ind w:left="510" w:hanging="510"/>
      </w:pPr>
      <w:rPr>
        <w:rFonts w:hint="default" w:ascii="宋体"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EwMjgwOWI3NDM3ZjQwZjNkYmYwYmEwMDAxODljNjAifQ=="/>
  </w:docVars>
  <w:rsids>
    <w:rsidRoot w:val="0032039D"/>
    <w:rsid w:val="0010576A"/>
    <w:rsid w:val="00184355"/>
    <w:rsid w:val="00195F69"/>
    <w:rsid w:val="001A7528"/>
    <w:rsid w:val="002C5CB5"/>
    <w:rsid w:val="002F4F7E"/>
    <w:rsid w:val="0032039D"/>
    <w:rsid w:val="003F4221"/>
    <w:rsid w:val="004106D0"/>
    <w:rsid w:val="00432B72"/>
    <w:rsid w:val="00500BE0"/>
    <w:rsid w:val="005F41F2"/>
    <w:rsid w:val="00642336"/>
    <w:rsid w:val="0071777C"/>
    <w:rsid w:val="007809E1"/>
    <w:rsid w:val="00845EC7"/>
    <w:rsid w:val="008D018B"/>
    <w:rsid w:val="008D6CBA"/>
    <w:rsid w:val="00A3086A"/>
    <w:rsid w:val="00A47897"/>
    <w:rsid w:val="00A507D4"/>
    <w:rsid w:val="00AC5505"/>
    <w:rsid w:val="00B36908"/>
    <w:rsid w:val="00B938B5"/>
    <w:rsid w:val="00C64351"/>
    <w:rsid w:val="00D40E59"/>
    <w:rsid w:val="00D522EA"/>
    <w:rsid w:val="00DD5EA9"/>
    <w:rsid w:val="00EF3B49"/>
    <w:rsid w:val="00F84B0C"/>
    <w:rsid w:val="00FB5DAC"/>
    <w:rsid w:val="00FD2CCD"/>
    <w:rsid w:val="1E2A730D"/>
    <w:rsid w:val="4F367A8B"/>
    <w:rsid w:val="64963348"/>
    <w:rsid w:val="677F3219"/>
    <w:rsid w:val="71D375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1"/>
    <w:semiHidden/>
    <w:unhideWhenUsed/>
    <w:qFormat/>
    <w:uiPriority w:val="99"/>
    <w:pPr>
      <w:spacing w:after="120" w:line="480" w:lineRule="auto"/>
      <w:ind w:left="420" w:leftChars="200"/>
    </w:pPr>
    <w:rPr>
      <w:rFonts w:asciiTheme="minorHAnsi" w:hAnsiTheme="minorHAnsi" w:eastAsiaTheme="minorEastAsia" w:cstheme="minorBidi"/>
      <w:szCs w:val="22"/>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8"/>
    <w:qFormat/>
    <w:uiPriority w:val="0"/>
    <w:pPr>
      <w:spacing w:before="240" w:after="60"/>
      <w:jc w:val="center"/>
      <w:outlineLvl w:val="0"/>
    </w:pPr>
    <w:rPr>
      <w:rFonts w:ascii="Cambria" w:hAnsi="Cambria" w:eastAsiaTheme="minorEastAsia"/>
      <w:b/>
      <w:bCs/>
      <w:sz w:val="32"/>
      <w:szCs w:val="32"/>
    </w:rPr>
  </w:style>
  <w:style w:type="character" w:customStyle="1" w:styleId="8">
    <w:name w:val="标题 Char"/>
    <w:link w:val="5"/>
    <w:qFormat/>
    <w:uiPriority w:val="0"/>
    <w:rPr>
      <w:rFonts w:ascii="Cambria" w:hAnsi="Cambria" w:cs="Times New Roman"/>
      <w:b/>
      <w:bCs/>
      <w:sz w:val="32"/>
      <w:szCs w:val="32"/>
    </w:rPr>
  </w:style>
  <w:style w:type="character" w:customStyle="1" w:styleId="9">
    <w:name w:val="标题 字符"/>
    <w:basedOn w:val="7"/>
    <w:qFormat/>
    <w:uiPriority w:val="0"/>
    <w:rPr>
      <w:rFonts w:asciiTheme="majorHAnsi" w:hAnsiTheme="majorHAnsi" w:eastAsiaTheme="majorEastAsia" w:cstheme="majorBidi"/>
      <w:b/>
      <w:bCs/>
      <w:sz w:val="32"/>
      <w:szCs w:val="32"/>
    </w:rPr>
  </w:style>
  <w:style w:type="paragraph" w:styleId="10">
    <w:name w:val="List Paragraph"/>
    <w:basedOn w:val="1"/>
    <w:qFormat/>
    <w:uiPriority w:val="34"/>
    <w:pPr>
      <w:ind w:firstLine="420" w:firstLineChars="200"/>
    </w:pPr>
  </w:style>
  <w:style w:type="character" w:customStyle="1" w:styleId="11">
    <w:name w:val="正文文本缩进 2 Char"/>
    <w:basedOn w:val="7"/>
    <w:link w:val="2"/>
    <w:semiHidden/>
    <w:qFormat/>
    <w:uiPriority w:val="99"/>
  </w:style>
  <w:style w:type="character" w:customStyle="1" w:styleId="12">
    <w:name w:val="页眉 Char"/>
    <w:basedOn w:val="7"/>
    <w:link w:val="4"/>
    <w:qFormat/>
    <w:uiPriority w:val="99"/>
    <w:rPr>
      <w:rFonts w:ascii="Times New Roman" w:hAnsi="Times New Roman" w:eastAsia="宋体" w:cs="Times New Roman"/>
      <w:sz w:val="18"/>
      <w:szCs w:val="18"/>
    </w:rPr>
  </w:style>
  <w:style w:type="character" w:customStyle="1" w:styleId="13">
    <w:name w:val="页脚 Char"/>
    <w:basedOn w:val="7"/>
    <w:link w:val="3"/>
    <w:qFormat/>
    <w:uiPriority w:val="99"/>
    <w:rPr>
      <w:rFonts w:ascii="Times New Roman" w:hAnsi="Times New Roman" w:eastAsia="宋体" w:cs="Times New Roman"/>
      <w:sz w:val="18"/>
      <w:szCs w:val="18"/>
    </w:rPr>
  </w:style>
  <w:style w:type="paragraph" w:customStyle="1" w:styleId="14">
    <w:name w:val="样式 首行缩进:  2 字符"/>
    <w:basedOn w:val="1"/>
    <w:qFormat/>
    <w:uiPriority w:val="0"/>
    <w:pPr>
      <w:spacing w:line="400" w:lineRule="exact"/>
      <w:ind w:firstLine="200" w:firstLineChars="200"/>
    </w:pPr>
    <w:rPr>
      <w:rFonts w:ascii="Calibri" w:hAnsi="Calibri"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543</Words>
  <Characters>3096</Characters>
  <Lines>25</Lines>
  <Paragraphs>7</Paragraphs>
  <TotalTime>6</TotalTime>
  <ScaleCrop>false</ScaleCrop>
  <LinksUpToDate>false</LinksUpToDate>
  <CharactersWithSpaces>3632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2020-12-02T05:33:00Z</dcterms:created>
  <dc:creator>国有资产管理处</dc:creator>
  <cp:lastModifiedBy>zhangxiaoju</cp:lastModifiedBy>
  <dcterms:modified xsi:type="dcterms:W3CDTF">2023-10-18T08:42:34Z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70B654A80BFF4965937230CCB494CA6A_12</vt:lpwstr>
  </property>
</Properties>
</file>